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Times New Roman" w:cs="Times New Roman" w:hAnsi="Times New Roman"/>
          <w:b/>
          <w:bCs/>
          <w:lang w:val="tr-TR"/>
        </w:rPr>
        <w:t xml:space="preserve"> </w:t>
      </w:r>
    </w:p>
    <w:p>
      <w:pPr>
        <w:pStyle w:val="style0"/>
      </w:pPr>
      <w:r>
        <w:rPr>
          <w:rFonts w:ascii="Times New Roman" w:cs="Times New Roman" w:hAnsi="Times New Roman"/>
          <w:b/>
          <w:bCs/>
          <w:lang w:val="tr-TR"/>
        </w:rPr>
        <w:t xml:space="preserve">  </w:t>
      </w:r>
      <w:r>
        <w:rPr>
          <w:rFonts w:ascii="Times New Roman" w:cs="Times New Roman" w:hAnsi="Times New Roman"/>
          <w:b/>
          <w:bCs/>
          <w:lang w:val="tr-TR"/>
        </w:rPr>
        <w:t>DİJİTAL YAYINCILIĞIN TELİF HAKLARI BAKIMINDAN YASAL BOYUTUNA          İLİŞKİN BİLGİ NOTU</w:t>
      </w:r>
    </w:p>
    <w:p>
      <w:pPr>
        <w:pStyle w:val="style0"/>
      </w:pPr>
      <w:r>
        <w:rPr>
          <w:rFonts w:ascii="Times New Roman" w:cs="Times New Roman" w:hAnsi="Times New Roman"/>
          <w:b/>
          <w:bCs/>
          <w:lang w:val="tr-TR"/>
        </w:rPr>
        <w:t xml:space="preserve">            </w:t>
      </w:r>
      <w:r>
        <w:rPr>
          <w:rFonts w:ascii="Times New Roman" w:cs="Times New Roman" w:hAnsi="Times New Roman"/>
          <w:bCs/>
          <w:lang w:val="tr-TR"/>
        </w:rPr>
        <w:t xml:space="preserve">Kalkınma ve rekabetçi bir ekonomi için bilgiye dayalı üretimler ve  yenilikçiliğin   önemi aşikardır.   Teknolojik  değişiklerle   ürün ve hizmetlerin niteliği  değişmekte   ve bu nedenle de bilgi ve iletişim teknolojilerine  daha fazla yatırım yapılmasına  ve  içerik üretiminin arttırılmasına  ihtiyaç  duyulmaktadır. Teknolojik gelişmeler ve bilgiye dayalı faaliyetlerle   ortaya çıkan dijitalleşmenin    ürün ve hizmetlerin  üretim ve tüketim süreçlerini  kolaylaştırıcı fonksiyonu    yaşamın neredeyse tüm alanları etkilemekte ve bu durumda  dijitalleşmenin önemini  arttırmaktadır.   </w:t>
      </w:r>
    </w:p>
    <w:p>
      <w:pPr>
        <w:pStyle w:val="style0"/>
      </w:pPr>
      <w:r>
        <w:rPr>
          <w:rFonts w:ascii="Times New Roman" w:cs="Times New Roman" w:hAnsi="Times New Roman"/>
          <w:bCs/>
          <w:lang w:val="tr-TR"/>
        </w:rPr>
        <w:tab/>
        <w:t xml:space="preserve"> Dijitalleşme bağlamında   bilgiye dayalı  üretimleri oluşturan fikri mülkiyet hakkına tabi endüstrilerdeki  ilgili sektörlerin geliştirilmesi  hak sahiplerinin  uluslararası ve ulusal  mevzuatla  belirlenen haklarının  yeterli düzeyde korunmasına  ve  ihlallerin  engellenmesine yönelik tedbirlerin alınmasına bağlıdır. </w:t>
      </w:r>
    </w:p>
    <w:p>
      <w:pPr>
        <w:pStyle w:val="style0"/>
      </w:pPr>
      <w:r>
        <w:rPr>
          <w:rFonts w:ascii="Times New Roman" w:cs="Times New Roman" w:hAnsi="Times New Roman"/>
          <w:bCs/>
          <w:lang w:val="tr-TR"/>
        </w:rPr>
        <w:t xml:space="preserve">            </w:t>
      </w:r>
      <w:r>
        <w:rPr>
          <w:rFonts w:ascii="Times New Roman" w:cs="Times New Roman" w:hAnsi="Times New Roman"/>
          <w:bCs/>
          <w:lang w:val="tr-TR"/>
        </w:rPr>
        <w:t>Bu kapsamda toplumsal gelişmenin vazgeçilmez ögesi   bilgiye erişimin   sürdürülebilirliği  de öncelikle içeriği üreten    hak sahiplerinin  içeriklerine ilişkin işleme, çoğaltma, yayma, temsil ve topluma iletim hakkı  olmak üzere münhasır nitelikli haklarının   etkin ve yeterli düzeyde korunmasıyla mümkündür.</w:t>
      </w:r>
    </w:p>
    <w:p>
      <w:pPr>
        <w:pStyle w:val="style0"/>
      </w:pPr>
      <w:r>
        <w:rPr>
          <w:rFonts w:ascii="Times New Roman" w:cs="Times New Roman" w:hAnsi="Times New Roman"/>
          <w:bCs/>
          <w:lang w:val="tr-TR"/>
        </w:rPr>
        <w:tab/>
        <w:t>Genel olarak İlim ve edebiyat eserlerinin elektronik ortamda sunulması,iletilmesi ve bireylerin erişimine açılması elektronik yayıncılık veya bir başka ifadeyle dijital yayıncılık  olarak tanımlanmaktadır.  Dijital yayıncılığın mahiyeti itibarıyla fikri haklar bakımından  hukuki çerçevesi münhasır nitelikli  tüm haklarla ilişkili olmakla birlikte    doğrudan ilişkili olması nedeniyle  topluma iletim hakkı çerçevesinde ele alınmasında yarar görülmektedir.</w:t>
      </w:r>
    </w:p>
    <w:p>
      <w:pPr>
        <w:pStyle w:val="style0"/>
      </w:pPr>
      <w:r>
        <w:rPr>
          <w:rFonts w:ascii="Times New Roman" w:cs="Times New Roman" w:hAnsi="Times New Roman"/>
          <w:b/>
          <w:bCs/>
          <w:i/>
          <w:lang w:val="tr-TR"/>
        </w:rPr>
        <w:tab/>
        <w:t>YASAL ÇERÇEVE</w:t>
      </w:r>
    </w:p>
    <w:p>
      <w:pPr>
        <w:pStyle w:val="style0"/>
      </w:pPr>
      <w:r>
        <w:rPr>
          <w:rFonts w:ascii="Times New Roman" w:cs="Times New Roman" w:hAnsi="Times New Roman"/>
          <w:bCs/>
          <w:lang w:val="tr-TR"/>
        </w:rPr>
        <w:tab/>
      </w:r>
      <w:r>
        <w:rPr>
          <w:rFonts w:ascii="Times New Roman" w:cs="Times New Roman" w:hAnsi="Times New Roman"/>
          <w:bCs/>
          <w:i/>
          <w:lang w:val="tr-TR"/>
        </w:rPr>
        <w:t>1-</w:t>
      </w:r>
      <w:r>
        <w:rPr>
          <w:rFonts w:ascii="Times New Roman" w:cs="Times New Roman" w:hAnsi="Times New Roman"/>
          <w:b/>
          <w:bCs/>
          <w:i/>
          <w:lang w:val="tr-TR"/>
        </w:rPr>
        <w:t xml:space="preserve">Uluslararası  mevzuat bakımından </w:t>
      </w:r>
    </w:p>
    <w:p>
      <w:pPr>
        <w:pStyle w:val="style0"/>
      </w:pPr>
      <w:r>
        <w:rPr>
          <w:rFonts w:ascii="Times New Roman" w:cs="Times New Roman" w:hAnsi="Times New Roman"/>
          <w:bCs/>
          <w:lang w:val="tr-TR"/>
        </w:rPr>
        <w:t xml:space="preserve">Edebiyat ve Sanat Eserlerinin korunmasına dair </w:t>
      </w:r>
      <w:r>
        <w:rPr>
          <w:rFonts w:ascii="Times New Roman" w:cs="Times New Roman" w:hAnsi="Times New Roman"/>
          <w:b/>
          <w:bCs/>
          <w:i/>
          <w:lang w:val="tr-TR"/>
        </w:rPr>
        <w:t>BERN SÖZLEŞMESİ   PARİS METNİNİN</w:t>
      </w:r>
      <w:r>
        <w:rPr>
          <w:rFonts w:ascii="Times New Roman" w:cs="Times New Roman" w:hAnsi="Times New Roman"/>
          <w:bCs/>
          <w:lang w:val="tr-TR"/>
        </w:rPr>
        <w:t xml:space="preserve"> 11. maddesi</w:t>
      </w:r>
    </w:p>
    <w:p>
      <w:pPr>
        <w:pStyle w:val="style0"/>
      </w:pPr>
      <w:r>
        <w:rPr>
          <w:rFonts w:ascii="Times New Roman" w:cs="Times New Roman" w:hAnsi="Times New Roman"/>
          <w:b/>
          <w:bCs/>
          <w:lang w:val="tr-TR"/>
        </w:rPr>
        <w:t xml:space="preserve"> </w:t>
      </w:r>
      <w:r>
        <w:rPr>
          <w:rFonts w:ascii="Times New Roman" w:cs="Times New Roman" w:hAnsi="Times New Roman"/>
          <w:b/>
          <w:bCs/>
          <w:lang w:val="tr-TR"/>
        </w:rPr>
        <w:t>(</w:t>
      </w:r>
      <w:r>
        <w:rPr>
          <w:rFonts w:ascii="Times New Roman" w:cs="Times New Roman" w:hAnsi="Times New Roman"/>
          <w:bCs/>
          <w:i/>
          <w:lang w:val="tr-TR"/>
        </w:rPr>
        <w:t>1) Edebiyat eseri sahipleri:</w:t>
      </w:r>
    </w:p>
    <w:p>
      <w:pPr>
        <w:pStyle w:val="style0"/>
      </w:pPr>
      <w:r>
        <w:rPr>
          <w:rFonts w:ascii="Times New Roman" w:cs="Times New Roman" w:hAnsi="Times New Roman"/>
          <w:bCs/>
          <w:i/>
          <w:lang w:val="tr-TR"/>
        </w:rPr>
        <w:t>(i) Eserlerinin her türlü araç ve yöntemle anlatımı dahil topluma sunulmasına;</w:t>
      </w:r>
    </w:p>
    <w:p>
      <w:pPr>
        <w:pStyle w:val="style0"/>
      </w:pPr>
      <w:r>
        <w:rPr>
          <w:rFonts w:ascii="Times New Roman" w:cs="Times New Roman" w:hAnsi="Times New Roman"/>
          <w:bCs/>
          <w:i/>
          <w:lang w:val="tr-TR"/>
        </w:rPr>
        <w:t>(ii) Sunulan eserlerinin herhangi bir şekilde topluma iletimine,</w:t>
      </w:r>
    </w:p>
    <w:p>
      <w:pPr>
        <w:pStyle w:val="style0"/>
      </w:pPr>
      <w:r>
        <w:rPr>
          <w:rFonts w:ascii="Times New Roman" w:cs="Times New Roman" w:hAnsi="Times New Roman"/>
          <w:bCs/>
          <w:i/>
          <w:lang w:val="tr-TR"/>
        </w:rPr>
        <w:t>izin verme hususunda inhisari hak sahibi olacaklardır.</w:t>
      </w:r>
    </w:p>
    <w:p>
      <w:pPr>
        <w:pStyle w:val="style0"/>
      </w:pPr>
      <w:r>
        <w:rPr>
          <w:rFonts w:ascii="Times New Roman" w:cs="Times New Roman" w:hAnsi="Times New Roman"/>
          <w:bCs/>
          <w:i/>
          <w:lang w:val="tr-TR"/>
        </w:rPr>
        <w:t>(2) Edebiyat eseri sahipleri, özgün eserleri üzerindeki haklarının koruma süresinin tamamı boyunca,</w:t>
      </w:r>
    </w:p>
    <w:p>
      <w:pPr>
        <w:pStyle w:val="style0"/>
      </w:pPr>
      <w:r>
        <w:rPr>
          <w:rFonts w:ascii="Times New Roman" w:cs="Times New Roman" w:hAnsi="Times New Roman"/>
          <w:bCs/>
          <w:i/>
          <w:lang w:val="tr-TR"/>
        </w:rPr>
        <w:t>bu eserlerinin çevirileri ile ilgili olarak aynı haklara sahip olacaklardır</w:t>
      </w:r>
      <w:r>
        <w:rPr>
          <w:rFonts w:ascii="Times New Roman" w:cs="Times New Roman" w:eastAsia="Times New Roman" w:hAnsi="Times New Roman"/>
          <w:i/>
          <w:lang w:eastAsia="tr-TR" w:val="tr-TR"/>
        </w:rPr>
        <w:t xml:space="preserve">    </w:t>
      </w:r>
    </w:p>
    <w:p>
      <w:pPr>
        <w:pStyle w:val="style0"/>
      </w:pPr>
      <w:r>
        <w:rPr>
          <w:rFonts w:ascii="Times New Roman" w:cs="Times New Roman" w:eastAsia="Times New Roman" w:hAnsi="Times New Roman"/>
          <w:lang w:eastAsia="tr-TR" w:val="tr-TR"/>
        </w:rPr>
        <w:t xml:space="preserve"> </w:t>
      </w:r>
      <w:r>
        <w:rPr>
          <w:rFonts w:ascii="Times New Roman" w:cs="Times New Roman" w:eastAsia="Times New Roman" w:hAnsi="Times New Roman"/>
          <w:lang w:eastAsia="tr-TR" w:val="tr-TR"/>
        </w:rPr>
        <w:t>hükmünü  amirdir.</w:t>
      </w:r>
    </w:p>
    <w:p>
      <w:pPr>
        <w:pStyle w:val="style0"/>
      </w:pPr>
      <w:r>
        <w:rPr>
          <w:rFonts w:ascii="Times New Roman" w:cs="Times New Roman" w:hAnsi="Times New Roman"/>
          <w:bCs/>
          <w:lang w:val="tr-TR"/>
        </w:rPr>
        <w:t>Diğer taraftan internet sözleşm</w:t>
      </w:r>
      <w:bookmarkStart w:id="0" w:name="_GoBack"/>
      <w:bookmarkEnd w:id="0"/>
      <w:r>
        <w:rPr>
          <w:rFonts w:ascii="Times New Roman" w:cs="Times New Roman" w:hAnsi="Times New Roman"/>
          <w:bCs/>
          <w:lang w:val="tr-TR"/>
        </w:rPr>
        <w:t>esi  olarak bilinen</w:t>
      </w:r>
      <w:r>
        <w:rPr>
          <w:rFonts w:ascii="Times New Roman" w:cs="Times New Roman" w:hAnsi="Times New Roman"/>
          <w:b/>
          <w:bCs/>
          <w:lang w:val="tr-TR"/>
        </w:rPr>
        <w:t xml:space="preserve"> TELİF HAKLARI SÖZLEŞMESİ  </w:t>
      </w:r>
      <w:r>
        <w:rPr>
          <w:rFonts w:ascii="Times New Roman" w:cs="Times New Roman" w:hAnsi="Times New Roman"/>
          <w:bCs/>
          <w:lang w:val="tr-TR"/>
        </w:rPr>
        <w:t xml:space="preserve">giriş bölümünde yer alan </w:t>
      </w:r>
    </w:p>
    <w:p>
      <w:pPr>
        <w:pStyle w:val="style0"/>
      </w:pPr>
      <w:r>
        <w:rPr>
          <w:rFonts w:ascii="Times New Roman" w:cs="Times New Roman" w:hAnsi="Times New Roman"/>
          <w:bCs/>
          <w:i/>
          <w:lang w:val="tr-TR"/>
        </w:rPr>
        <w:t>‘</w:t>
      </w:r>
      <w:r>
        <w:rPr>
          <w:rFonts w:ascii="Times New Roman" w:cs="Times New Roman" w:hAnsi="Times New Roman"/>
          <w:bCs/>
          <w:i/>
          <w:lang w:val="tr-TR"/>
        </w:rPr>
        <w:t>Edebiyat ve sanat eserlerinin yaratılması ve kullanımına ilişkin iletişim teknolojileri ve haberleşmenin yaklaşım ve gelişimindeki güçlü etkiyi dikkate alarak,</w:t>
      </w:r>
    </w:p>
    <w:p>
      <w:pPr>
        <w:pStyle w:val="style0"/>
      </w:pPr>
      <w:r>
        <w:rPr>
          <w:rFonts w:ascii="Times New Roman" w:cs="Times New Roman" w:hAnsi="Times New Roman"/>
          <w:bCs/>
          <w:i/>
          <w:lang w:val="tr-TR"/>
        </w:rPr>
        <w:t xml:space="preserve">Edebiyat ve sanat alanındaki yaratıcılığın özendirilmesinde telif haklarının korunmasının belirgin anlamını vurgulayarak’ </w:t>
      </w:r>
    </w:p>
    <w:p>
      <w:pPr>
        <w:pStyle w:val="style0"/>
      </w:pPr>
      <w:r>
        <w:rPr>
          <w:rFonts w:ascii="Times New Roman" w:cs="Times New Roman" w:hAnsi="Times New Roman"/>
          <w:bCs/>
          <w:lang w:val="tr-TR"/>
        </w:rPr>
        <w:t xml:space="preserve"> </w:t>
      </w:r>
      <w:r>
        <w:rPr>
          <w:rFonts w:ascii="Times New Roman" w:cs="Times New Roman" w:hAnsi="Times New Roman"/>
          <w:bCs/>
          <w:lang w:val="tr-TR"/>
        </w:rPr>
        <w:t>ifadeleriyle teknolojik gelişmeler ve telif hakları ilişkine atıf yapılmaktadır</w:t>
      </w:r>
    </w:p>
    <w:p>
      <w:pPr>
        <w:pStyle w:val="style0"/>
      </w:pPr>
      <w:r>
        <w:rPr>
          <w:rFonts w:ascii="Times New Roman" w:cs="Times New Roman" w:hAnsi="Times New Roman"/>
          <w:b/>
          <w:bCs/>
          <w:i/>
          <w:lang w:val="tr-TR"/>
        </w:rPr>
        <w:t xml:space="preserve">              </w:t>
      </w:r>
      <w:r>
        <w:rPr>
          <w:rFonts w:ascii="Times New Roman" w:cs="Times New Roman" w:hAnsi="Times New Roman"/>
          <w:b/>
          <w:bCs/>
          <w:i/>
          <w:lang w:val="tr-TR"/>
        </w:rPr>
        <w:t xml:space="preserve">Sözkonu sözleşmenin   Topluma İletim Hakkı başlıklı  8.maddesi  </w:t>
      </w:r>
    </w:p>
    <w:p>
      <w:pPr>
        <w:pStyle w:val="style0"/>
      </w:pPr>
      <w:r>
        <w:rPr>
          <w:rFonts w:ascii="Times New Roman" w:cs="Times New Roman" w:hAnsi="Times New Roman"/>
          <w:bCs/>
          <w:i/>
          <w:lang w:val="tr-TR"/>
        </w:rPr>
        <w:t>‘</w:t>
      </w:r>
      <w:r>
        <w:rPr>
          <w:rFonts w:ascii="Times New Roman" w:cs="Times New Roman" w:hAnsi="Times New Roman"/>
          <w:bCs/>
          <w:i/>
          <w:lang w:val="tr-TR"/>
        </w:rPr>
        <w:t>Bern Sözleşmesi’nin 11 (1) (ii), 11 Mükerrer (1) (i) ve (ii), 11 ikinci mükerrer (1) (ii) ve 14 (1) (ii) ve 14 mükerrer (1) maddeleri, hükümleri haleldar edilmeksizin, edebiyat ve sanat eserleri sahipleri, eserlerinin telli ya da telsiz ortamda, toplum üyelerinin kendileri tarafından seçilen bir yer ve zamanda bu eserlerden kişisel olarak yararlanacak biçimde topluma iletilmesine izin verme hususunda münhasıran hak sahibidir.</w:t>
      </w:r>
      <w:r>
        <w:rPr>
          <w:rFonts w:ascii="Times New Roman" w:cs="Times New Roman" w:hAnsi="Times New Roman"/>
          <w:bCs/>
          <w:lang w:val="tr-TR"/>
        </w:rPr>
        <w:t>’ hükmünü amirdir</w:t>
      </w:r>
      <w:r>
        <w:rPr>
          <w:rFonts w:ascii="Times New Roman" w:cs="Times New Roman" w:hAnsi="Times New Roman"/>
          <w:b/>
          <w:bCs/>
          <w:lang w:val="tr-TR"/>
        </w:rPr>
        <w:t>.</w:t>
      </w:r>
    </w:p>
    <w:p>
      <w:pPr>
        <w:pStyle w:val="style0"/>
      </w:pPr>
      <w:r>
        <w:rPr>
          <w:rFonts w:ascii="Times New Roman" w:cs="Times New Roman" w:hAnsi="Times New Roman"/>
          <w:lang w:val="tr-TR"/>
        </w:rPr>
        <w:tab/>
        <w:t>Bu kapsamda,</w:t>
      </w:r>
      <w:r>
        <w:rPr>
          <w:rFonts w:ascii="Times New Roman" w:cs="Times New Roman" w:hAnsi="Times New Roman"/>
          <w:b/>
          <w:i/>
          <w:lang w:val="tr-TR"/>
        </w:rPr>
        <w:t xml:space="preserve"> Bilgi Toplumunda Telif Hakları ve Bağlantılı Hakların Belirli Yönlerinin Uyumlaştırılması hakkında22 Mayıs 2001 tarihli ve2001/29/AT sayılı AVRUPA PARLAMENTOSU VE KONSEY DİREKTİFİ  DİJİTAL GÜNDEME</w:t>
      </w:r>
      <w:r>
        <w:rPr>
          <w:rFonts w:ascii="Times New Roman" w:cs="Times New Roman" w:hAnsi="Times New Roman"/>
          <w:b/>
          <w:lang w:val="tr-TR"/>
        </w:rPr>
        <w:t xml:space="preserve">  </w:t>
      </w:r>
      <w:r>
        <w:rPr>
          <w:rFonts w:ascii="Times New Roman" w:cs="Times New Roman" w:hAnsi="Times New Roman"/>
          <w:lang w:val="tr-TR"/>
        </w:rPr>
        <w:t>atıf yaparak</w:t>
      </w:r>
      <w:r>
        <w:rPr>
          <w:rFonts w:ascii="Times New Roman" w:cs="Times New Roman" w:hAnsi="Times New Roman"/>
          <w:b/>
          <w:lang w:val="tr-TR"/>
        </w:rPr>
        <w:t xml:space="preserve">  </w:t>
      </w:r>
      <w:r>
        <w:rPr>
          <w:rFonts w:ascii="Times New Roman" w:cs="Times New Roman" w:hAnsi="Times New Roman"/>
          <w:lang w:val="tr-TR"/>
        </w:rPr>
        <w:t xml:space="preserve">topluma  iletim hakkını geniş olarak yorumlanması gerektiğine vurgu  yapmaktadır. Direktifin açıklamaların yer aldığı önsöz ve giriş bölümünde  bu husus aşağıda </w:t>
      </w:r>
    </w:p>
    <w:p>
      <w:pPr>
        <w:pStyle w:val="style0"/>
      </w:pPr>
      <w:r>
        <w:rPr>
          <w:rFonts w:ascii="Times New Roman" w:cs="Times New Roman" w:hAnsi="Times New Roman"/>
          <w:i/>
          <w:lang w:val="tr-TR"/>
        </w:rPr>
        <w:t xml:space="preserve">‘ </w:t>
      </w:r>
      <w:r>
        <w:rPr>
          <w:rFonts w:ascii="Times New Roman" w:cs="Times New Roman" w:hAnsi="Times New Roman"/>
          <w:i/>
          <w:lang w:val="tr-TR"/>
        </w:rPr>
        <w:t>15).</w:t>
      </w:r>
      <w:r>
        <w:rPr>
          <w:rFonts w:ascii="Times New Roman" w:cs="Times New Roman" w:eastAsia="Times New Roman" w:hAnsi="Times New Roman"/>
          <w:i/>
          <w:lang w:eastAsia="tr-TR" w:val="tr-TR"/>
        </w:rPr>
        <w:t xml:space="preserve"> </w:t>
      </w:r>
      <w:r>
        <w:rPr>
          <w:rFonts w:ascii="Times New Roman" w:cs="Times New Roman" w:hAnsi="Times New Roman"/>
          <w:i/>
          <w:lang w:val="tr-TR"/>
        </w:rPr>
        <w:t>Aralık 1996’da Dünya Fikri Mülkiyet Teşkilatı (WIPO)’nın himayesinde gerçekleştirilen Diplomatik Konferans, iki yeni antlaşmanın, eser sahiplerinin korunması ile ilgili ‘WIPO Telif Hakları Antlaşması’nın ve icracıların ve fonogram yapımcılarının korunması ile ilgili ‘WIPO İcralar ve Fonogramlar Antlaşması’nın kabul edilmesine öncülük ettiğinden; bu antlaşmalar, telif hakları ve bağlantılı hakların uluslararası korumasını sadece, “</w:t>
      </w:r>
      <w:r>
        <w:rPr>
          <w:rFonts w:ascii="Times New Roman" w:cs="Times New Roman" w:hAnsi="Times New Roman"/>
          <w:b/>
          <w:i/>
          <w:lang w:val="tr-TR"/>
        </w:rPr>
        <w:t>dijital gündem”</w:t>
      </w:r>
      <w:r>
        <w:rPr>
          <w:rFonts w:ascii="Times New Roman" w:cs="Times New Roman" w:hAnsi="Times New Roman"/>
          <w:i/>
          <w:lang w:val="tr-TR"/>
        </w:rPr>
        <w:t xml:space="preserve"> olarak adlandırılan gündeme ilişkin olarak en son gelişmelere önemli derecede uygun hale getirmekle kalmayıp dünya çapında korsanlıkla mücadele araçlarını da geliştirdiğinden; Topluluk ve üye devletlerin çoğunluğu bu antlaşmaları imzalamış olduğundan ve Topluluk ve üye devletler tarafından antlaşmaların onaylanması için düzenlemeler yapma süreci devam ettiğinden; bu Direktif aynı zamanda bir dizi yeni uluslararası yükümlülüğün uygulanmasına hizmet ettiğinden;   </w:t>
      </w:r>
    </w:p>
    <w:p>
      <w:pPr>
        <w:pStyle w:val="style0"/>
      </w:pPr>
      <w:r>
        <w:rPr>
          <w:rFonts w:ascii="Times New Roman" w:cs="Times New Roman" w:hAnsi="Times New Roman"/>
          <w:i/>
          <w:lang w:val="tr-TR"/>
        </w:rPr>
        <w:t>23) Bu Direktif eser sahibinin umuma iletim hakkını daha fazla uyumlaştırdığından; bu hakkın, iletimin ilk kez gerçekleştiği yerde bulunmayan halkı da kapsayan geniş anlamda bir iletim olarak anlaşılması gerektiğinden; bu hak, radyo ve TV yayınlarını da içeren, telli veya telsiz araçlarla bir eserin umuma her türlü iletimini veya yeniden iletimini kapsadığından; bu hak, başka herhangi bir fiili kapsamadığından;</w:t>
      </w:r>
    </w:p>
    <w:p>
      <w:pPr>
        <w:pStyle w:val="style0"/>
      </w:pPr>
      <w:r>
        <w:rPr>
          <w:rFonts w:ascii="Times New Roman" w:cs="Times New Roman" w:hAnsi="Times New Roman"/>
          <w:i/>
          <w:lang w:val="tr-TR"/>
        </w:rPr>
        <w:t>(24)</w:t>
        <w:tab/>
        <w:t xml:space="preserve">3(2). maddede belirtilen konuların kamunun erişimine sunulması hakkı, bu konuların erişim faaliyetinin ilk kez gerçekleştiği yerde bulunmayan kamu bireylerinin erişimine sunulmasına yönelik tüm fiilleri kapsar ve bunun dışındaki fiilleri kapsamaz şekilde anlaşılması gerektiğinden;  </w:t>
      </w:r>
    </w:p>
    <w:p>
      <w:pPr>
        <w:pStyle w:val="style0"/>
      </w:pPr>
      <w:r>
        <w:rPr>
          <w:rFonts w:ascii="Times New Roman" w:cs="Times New Roman" w:hAnsi="Times New Roman"/>
          <w:i/>
          <w:lang w:val="tr-TR"/>
        </w:rPr>
        <w:t>(25)</w:t>
        <w:tab/>
        <w:t>Telif hakkı eserlerinin ve bağlantılı haklar tarafından korunan konuların talep üzerine ağ üzerinden iletim işlemlerinin koruma seviyesi ve doğası ile ilgili hukuki belirsizliğin Topluluk seviyesinde uyumlaştırılmış bir koruma sağlanarak giderilmesi gerektiğinden; bu Direktif tarafından tanınan tüm hak sahiplerinin, eserlerin ve diğer her türlü talep üzerine interaktif iletim konularının kamunun erişimine sunulması münhasır hakkına sahip olmalarının açıkça ortaya konulması gerektiğinden; bu şekildeki talep üzerine interaktif iletimler, kamu bireyleri tarafından bireysel olarak seçilen bir yer ve zamanda bu iletimlere ulaşabilme olanağı olarak karakterize edildiğinden</w:t>
      </w:r>
      <w:r>
        <w:rPr>
          <w:rFonts w:ascii="Times New Roman" w:cs="Times New Roman" w:hAnsi="Times New Roman"/>
          <w:lang w:val="tr-TR"/>
        </w:rPr>
        <w:t>;  ‘</w:t>
      </w:r>
    </w:p>
    <w:p>
      <w:pPr>
        <w:pStyle w:val="style0"/>
      </w:pPr>
      <w:r>
        <w:rPr>
          <w:rFonts w:ascii="Times New Roman" w:cs="Times New Roman" w:hAnsi="Times New Roman"/>
          <w:lang w:val="tr-TR"/>
        </w:rPr>
        <w:t>ifadeleriyle yer almaktadır.</w:t>
      </w:r>
    </w:p>
    <w:p>
      <w:pPr>
        <w:pStyle w:val="style0"/>
      </w:pPr>
      <w:r>
        <w:rPr>
          <w:rFonts w:ascii="Times New Roman" w:cs="Times New Roman" w:hAnsi="Times New Roman"/>
          <w:lang w:val="tr-TR"/>
        </w:rPr>
        <w:t xml:space="preserve">       </w:t>
      </w:r>
      <w:r>
        <w:rPr>
          <w:rFonts w:ascii="Times New Roman" w:cs="Times New Roman" w:hAnsi="Times New Roman"/>
          <w:b/>
          <w:bCs/>
          <w:lang w:val="tr-TR"/>
        </w:rPr>
        <w:t xml:space="preserve"> </w:t>
      </w:r>
    </w:p>
    <w:p>
      <w:pPr>
        <w:pStyle w:val="style0"/>
      </w:pPr>
      <w:r>
        <w:rPr>
          <w:rFonts w:ascii="Times New Roman" w:cs="Times New Roman" w:hAnsi="Times New Roman"/>
          <w:b/>
          <w:bCs/>
          <w:lang w:val="tr-TR"/>
        </w:rPr>
        <w:tab/>
        <w:t xml:space="preserve">  Direktifin  </w:t>
      </w:r>
      <w:r>
        <w:rPr>
          <w:rFonts w:ascii="Times New Roman" w:cs="Times New Roman" w:hAnsi="Times New Roman"/>
          <w:b/>
          <w:bCs/>
          <w:lang w:val="en-US"/>
        </w:rPr>
        <w:t>Eserlerin umuma iletimi hakkı ve diğer konuların kamunun erişimine sunulması hakkı</w:t>
      </w:r>
      <w:r>
        <w:rPr>
          <w:rFonts w:ascii="Times New Roman" w:cs="Times New Roman" w:hAnsi="Times New Roman"/>
          <w:b/>
          <w:bCs/>
          <w:lang w:val="tr-TR"/>
        </w:rPr>
        <w:t xml:space="preserve"> başlıklı 3. Maddesi </w:t>
      </w:r>
    </w:p>
    <w:p>
      <w:pPr>
        <w:pStyle w:val="style0"/>
      </w:pPr>
      <w:r>
        <w:rPr>
          <w:rFonts w:ascii="Times New Roman" w:cs="Times New Roman" w:hAnsi="Times New Roman"/>
          <w:b/>
          <w:bCs/>
          <w:lang w:val="tr-TR"/>
        </w:rPr>
        <w:t xml:space="preserve">       </w:t>
      </w:r>
    </w:p>
    <w:p>
      <w:pPr>
        <w:pStyle w:val="style0"/>
      </w:pPr>
      <w:r>
        <w:rPr>
          <w:rFonts w:ascii="Times New Roman" w:cs="Times New Roman" w:hAnsi="Times New Roman"/>
          <w:b/>
          <w:bCs/>
          <w:lang w:val="tr-TR"/>
        </w:rPr>
      </w:r>
    </w:p>
    <w:p>
      <w:pPr>
        <w:pStyle w:val="style0"/>
      </w:pPr>
      <w:r>
        <w:rPr>
          <w:rFonts w:ascii="Times New Roman" w:cs="Times New Roman" w:hAnsi="Times New Roman"/>
          <w:b/>
          <w:bCs/>
          <w:lang w:val="tr-TR"/>
        </w:rPr>
        <w:t xml:space="preserve"> ‘ </w:t>
      </w:r>
      <w:r>
        <w:rPr>
          <w:rFonts w:ascii="Times New Roman" w:cs="Times New Roman" w:hAnsi="Times New Roman"/>
          <w:bCs/>
          <w:i/>
          <w:lang w:val="en-US"/>
        </w:rPr>
        <w:t>1.Üye devletler,</w:t>
      </w:r>
    </w:p>
    <w:p>
      <w:pPr>
        <w:pStyle w:val="style0"/>
      </w:pPr>
      <w:r>
        <w:rPr>
          <w:rFonts w:ascii="Times New Roman" w:cs="Times New Roman" w:hAnsi="Times New Roman"/>
          <w:bCs/>
          <w:i/>
          <w:lang w:val="en-US"/>
        </w:rPr>
        <w:t xml:space="preserve"> </w:t>
      </w:r>
      <w:r>
        <w:rPr>
          <w:rFonts w:ascii="Times New Roman" w:cs="Times New Roman" w:hAnsi="Times New Roman"/>
          <w:bCs/>
          <w:i/>
          <w:lang w:val="en-US"/>
        </w:rPr>
        <w:t xml:space="preserve">eser sahiplerine, eserlerini, bireylerin kendi seçtikleri yer ve zamanda erişimlerine sunulmasını da içeren, telli veya telsiz araçlarla umuma her türlü iletimine izin verme ve yasaklama münhasır haklarını sağlar.  </w:t>
      </w:r>
    </w:p>
    <w:p>
      <w:pPr>
        <w:pStyle w:val="style0"/>
      </w:pPr>
      <w:r>
        <w:rPr>
          <w:rFonts w:ascii="Times New Roman" w:cs="Times New Roman" w:hAnsi="Times New Roman"/>
          <w:bCs/>
          <w:i/>
          <w:lang w:val="tr-TR"/>
        </w:rPr>
        <w:t xml:space="preserve">     </w:t>
      </w:r>
      <w:r>
        <w:rPr>
          <w:rFonts w:ascii="Times New Roman" w:cs="Times New Roman" w:hAnsi="Times New Roman"/>
          <w:bCs/>
          <w:i/>
          <w:lang w:val="en-US"/>
        </w:rPr>
        <w:t>2.</w:t>
        <w:tab/>
        <w:t xml:space="preserve">Üye devletler, </w:t>
      </w:r>
    </w:p>
    <w:p>
      <w:pPr>
        <w:pStyle w:val="style0"/>
      </w:pPr>
      <w:r>
        <w:rPr>
          <w:rFonts w:ascii="Times New Roman" w:cs="Times New Roman" w:hAnsi="Times New Roman"/>
          <w:bCs/>
          <w:i/>
          <w:lang w:val="tr-TR"/>
        </w:rPr>
        <w:t>(a) icracılar için icralarının tespitlerinin;</w:t>
      </w:r>
    </w:p>
    <w:p>
      <w:pPr>
        <w:pStyle w:val="style0"/>
      </w:pPr>
      <w:r>
        <w:rPr>
          <w:rFonts w:ascii="Times New Roman" w:cs="Times New Roman" w:hAnsi="Times New Roman"/>
          <w:bCs/>
          <w:i/>
          <w:lang w:val="tr-TR"/>
        </w:rPr>
        <w:t>(b) fonogram yapımcıları için fonogramlarının;</w:t>
      </w:r>
    </w:p>
    <w:p>
      <w:pPr>
        <w:pStyle w:val="style0"/>
      </w:pPr>
      <w:r>
        <w:rPr>
          <w:rFonts w:ascii="Times New Roman" w:cs="Times New Roman" w:hAnsi="Times New Roman"/>
          <w:bCs/>
          <w:i/>
          <w:lang w:val="tr-TR"/>
        </w:rPr>
        <w:t xml:space="preserve">(c) filmlerin ilk tespitini gerçekleştiren yapımcılar için filmlerinin aslının veya nüshalarının; </w:t>
      </w:r>
    </w:p>
    <w:p>
      <w:pPr>
        <w:pStyle w:val="style0"/>
      </w:pPr>
      <w:r>
        <w:rPr>
          <w:rFonts w:ascii="Times New Roman" w:cs="Times New Roman" w:hAnsi="Times New Roman"/>
          <w:bCs/>
          <w:i/>
          <w:lang w:val="tr-TR"/>
        </w:rPr>
        <w:t>(d) yayın kuruluşları için kablo veya uydu dâhil olmak üzere, telli veya havadan iletilen yayınlarının tespitlerinin;</w:t>
      </w:r>
    </w:p>
    <w:p>
      <w:pPr>
        <w:pStyle w:val="style0"/>
      </w:pPr>
      <w:r>
        <w:rPr>
          <w:rFonts w:ascii="Times New Roman" w:cs="Times New Roman" w:hAnsi="Times New Roman"/>
          <w:bCs/>
          <w:i/>
          <w:lang w:val="en-US"/>
        </w:rPr>
        <w:t xml:space="preserve">bireylerin kendi seçtikleri yer ve zamanda erişimlerine sunulmasını sağlayacak şekilde, telli veya telsiz araçlarla kamunun erişimine sunulmasına izin verme ve yasaklama münhasır haklarını sağlar. </w:t>
      </w:r>
    </w:p>
    <w:p>
      <w:pPr>
        <w:pStyle w:val="style0"/>
      </w:pPr>
      <w:r>
        <w:rPr>
          <w:rFonts w:ascii="Times New Roman" w:cs="Times New Roman" w:hAnsi="Times New Roman"/>
          <w:bCs/>
          <w:i/>
          <w:lang w:val="tr-TR"/>
        </w:rPr>
        <w:t xml:space="preserve">    </w:t>
      </w:r>
      <w:r>
        <w:rPr>
          <w:rFonts w:ascii="Times New Roman" w:cs="Times New Roman" w:hAnsi="Times New Roman"/>
          <w:bCs/>
          <w:i/>
          <w:lang w:val="en-US"/>
        </w:rPr>
        <w:t xml:space="preserve">3. </w:t>
        <w:tab/>
        <w:t>1. ve 2. paragrafta belirtilen haklar, bu Maddede yer alan umuma iletim ve kamunun erişimine sunma fiillerinin gerçekleşmesi ile tükenmez.</w:t>
      </w:r>
      <w:r>
        <w:rPr>
          <w:rFonts w:ascii="Times New Roman" w:cs="Times New Roman" w:hAnsi="Times New Roman"/>
          <w:bCs/>
          <w:lang w:val="tr-TR"/>
        </w:rPr>
        <w:t>’hükmünü amirdir</w:t>
      </w:r>
      <w:r>
        <w:rPr>
          <w:rFonts w:ascii="Times New Roman" w:cs="Times New Roman" w:hAnsi="Times New Roman"/>
          <w:bCs/>
          <w:i/>
          <w:lang w:val="tr-TR"/>
        </w:rPr>
        <w:t>.</w:t>
      </w:r>
    </w:p>
    <w:p>
      <w:pPr>
        <w:pStyle w:val="style0"/>
      </w:pPr>
      <w:r>
        <w:rPr>
          <w:rFonts w:ascii="Times New Roman" w:cs="Times New Roman" w:hAnsi="Times New Roman"/>
          <w:bCs/>
          <w:i/>
          <w:lang w:val="tr-TR"/>
        </w:rPr>
        <w:tab/>
        <w:t xml:space="preserve"> </w:t>
      </w:r>
      <w:r>
        <w:rPr>
          <w:rFonts w:ascii="Times New Roman" w:cs="Times New Roman" w:hAnsi="Times New Roman"/>
          <w:b/>
          <w:bCs/>
          <w:i/>
          <w:lang w:val="tr-TR"/>
        </w:rPr>
        <w:t>BERN SÖZLEŞMESİ ,TELİF HAKLARI SÖZLEŞMESİ VE BİLGİ TOPLUMU DİREKTİFİ’nin  Umuma iletim hakkıyla ilgili hükümleri    birlikte değerlendirildiğinde</w:t>
      </w:r>
      <w:r>
        <w:rPr>
          <w:rFonts w:ascii="Times New Roman" w:cs="Times New Roman" w:hAnsi="Times New Roman"/>
          <w:bCs/>
          <w:lang w:val="tr-TR"/>
        </w:rPr>
        <w:t xml:space="preserve"> eserlerin topluma iletilmesi hususunda sözkonusu eserlerin kamuya sunulması veya arzedilmesi  ile bireysel kullanıcılar için erişime açılması  olmak üzere iki önemli husus ortaya çıkmaktadır Umuma iletim hakkının  hertürlü iletimi kapsayacak şekilde  geniş yorumlanması gerektiği direktifte açıkça   vurgulanmaktadır. Erişilebilirliğin bireysel kullanıcılar ve toplum bakımından   önemi  gözardı edilmeksizin Dijital ortamın ihlallere açık  bir yapıda olması   nedeniyle ihlallerin önlenmesine yönelik  teknolojik önlemlerin alınması  ve  uluslararası standartlar ile   etkin korumaya ilişkin kuralların uygulanmasının sağlanması  içerik sahiplerinin  menfaatlerinin korunması  bakımından zorunlu görülmektedir.Fiziki ortamda</w:t>
      </w:r>
      <w:r>
        <w:rPr>
          <w:rFonts w:ascii="Times New Roman" w:cs="Times New Roman" w:hAnsi="Times New Roman"/>
          <w:bCs/>
          <w:i/>
          <w:lang w:val="tr-TR"/>
        </w:rPr>
        <w:t xml:space="preserve">ki ihlallere benzer </w:t>
      </w:r>
      <w:r>
        <w:rPr>
          <w:rFonts w:ascii="Times New Roman" w:cs="Times New Roman" w:hAnsi="Times New Roman"/>
          <w:bCs/>
          <w:lang w:val="tr-TR"/>
        </w:rPr>
        <w:t>biçimde manevi ve mali haklara ilişkin neredeyse hakların tümüyle ilgili  ihlallerin yapılmasını mümkün kılan bir ortamın varlığı korumaya yönelik etkili teknolojk önlemlerin alınmasının önemini de açıkça göstermektedir</w:t>
      </w:r>
      <w:r>
        <w:rPr>
          <w:rFonts w:ascii="Times New Roman" w:cs="Times New Roman" w:hAnsi="Times New Roman"/>
          <w:bCs/>
          <w:i/>
          <w:lang w:val="tr-TR"/>
        </w:rPr>
        <w:t>.</w:t>
      </w:r>
      <w:r>
        <w:rPr>
          <w:rFonts w:ascii="Times New Roman" w:cs="Times New Roman" w:eastAsia="Times New Roman" w:hAnsi="Times New Roman"/>
          <w:lang w:eastAsia="tr-TR" w:val="tr-TR"/>
        </w:rPr>
        <w:t xml:space="preserve"> </w:t>
        <w:tab/>
        <w:tab/>
      </w:r>
    </w:p>
    <w:p>
      <w:pPr>
        <w:pStyle w:val="style0"/>
      </w:pPr>
      <w:r>
        <w:rPr>
          <w:rFonts w:ascii="Times New Roman" w:cs="Times New Roman" w:eastAsia="Times New Roman" w:hAnsi="Times New Roman"/>
          <w:lang w:eastAsia="tr-TR" w:val="tr-TR"/>
        </w:rPr>
        <w:tab/>
        <w:t>Direktifin açıklamaların yer aldığı önsöz ve giriş bölümünde  bahsedilen  hususlar aşağıda;</w:t>
      </w:r>
    </w:p>
    <w:p>
      <w:pPr>
        <w:pStyle w:val="style0"/>
      </w:pPr>
      <w:r>
        <w:rPr>
          <w:rFonts w:ascii="Times New Roman" w:cs="Times New Roman" w:eastAsia="Times New Roman" w:hAnsi="Times New Roman"/>
          <w:i/>
          <w:lang w:eastAsia="tr-TR" w:val="tr-TR"/>
        </w:rPr>
        <w:t xml:space="preserve"> </w:t>
      </w:r>
      <w:r>
        <w:rPr>
          <w:rFonts w:ascii="Times New Roman" w:cs="Times New Roman" w:eastAsia="Times New Roman" w:hAnsi="Times New Roman"/>
          <w:i/>
          <w:lang w:eastAsia="tr-TR" w:val="tr-TR"/>
        </w:rPr>
        <w:t>(53)Teknolojik önlemlerin korunması, bireylerin, yine onlar tarafından kişisel olarak seçilen bir zaman ve yerden eserlere veya diğer konulara erişebileceği bir şekilde, interaktif talep üzerine hizmet için güvenli bir ortamı temin ettiğinden; bu tür hizmetlerin sözleşmeden doğan düzenlemelere tabi olduğu durumlarda, 6(4) maddesinin 1. ve 2. altparagrafları uygulanmadığından; çevrimiçi kullanımın interaktif olmayan biçimleri bu hükümlere tabi olmaya devam ettiğinden;</w:t>
      </w:r>
    </w:p>
    <w:p>
      <w:pPr>
        <w:pStyle w:val="style0"/>
      </w:pPr>
      <w:r>
        <w:rPr>
          <w:rFonts w:ascii="Times New Roman" w:cs="Times New Roman" w:eastAsia="Times New Roman" w:hAnsi="Times New Roman"/>
          <w:lang w:eastAsia="tr-TR" w:val="tr-TR"/>
        </w:rPr>
      </w:r>
    </w:p>
    <w:p>
      <w:pPr>
        <w:pStyle w:val="style0"/>
      </w:pPr>
      <w:r>
        <w:rPr>
          <w:rFonts w:ascii="Times New Roman" w:cs="Times New Roman" w:eastAsia="Times New Roman" w:hAnsi="Times New Roman"/>
          <w:i/>
          <w:lang w:eastAsia="tr-TR" w:val="tr-TR"/>
        </w:rPr>
      </w:r>
    </w:p>
    <w:p>
      <w:pPr>
        <w:pStyle w:val="style0"/>
      </w:pPr>
      <w:r>
        <w:rPr>
          <w:rFonts w:ascii="Times New Roman" w:cs="Times New Roman" w:hAnsi="Times New Roman"/>
          <w:bCs/>
          <w:i/>
          <w:lang w:val="tr-TR"/>
        </w:rPr>
        <w:t xml:space="preserve">    </w:t>
      </w:r>
      <w:r>
        <w:rPr>
          <w:rFonts w:ascii="Times New Roman" w:cs="Times New Roman" w:hAnsi="Times New Roman"/>
          <w:bCs/>
          <w:i/>
          <w:lang w:val="tr-TR"/>
        </w:rPr>
        <w:t xml:space="preserve">(54) Dijital biçimdeki eserlerin ve korunan konuların teknik belirlenme sisteminin uluslararası standardizasyonunda önemli ilerlemeler kaydedildiğinden; giderek artan bir ağ tabanlı ortamda, teknolojik önlemler arasındaki farklar Topluluk içinde sistem uyumsuzluğuna neden olabileceğinden; farklı sistemlerin uyumluluğu ve beraber işleyebilirliği teşvik edildiğinden; küresel sistemlerin gelişiminin teşvik edilmesi son derece arzu edildiğinden; </w:t>
      </w:r>
    </w:p>
    <w:p>
      <w:pPr>
        <w:pStyle w:val="style0"/>
      </w:pPr>
      <w:r>
        <w:rPr>
          <w:rFonts w:ascii="Times New Roman" w:cs="Times New Roman" w:hAnsi="Times New Roman"/>
          <w:bCs/>
          <w:i/>
          <w:lang w:val="tr-TR"/>
        </w:rPr>
        <w:t>(55)</w:t>
        <w:tab/>
        <w:t>Teknolojik gelişme, özellikle ağlarda eserlerin dağıtılmasını kolaylaştıracağından ve bu, hak sahipleri için, eserlerin veya diğer konuların, eser sahiplerinin veya diğer hak sahiplerinin belirlemesinde ve hakların yönetimini daha kolaylaştırmak için eserlerin veya diğer konuların kullanımının şartları ve koşulları hakkında bilgi sağlanması ihtiyacına sebep olacağından; hak sahipleri, yukarıdaki söz edilen bilgiye ek olarak, eserler veya diğer konular bilgisayar ağlarına konulduğunda, diğer hususların yanı sıra, öncelikle hak sahiplerinin iznini belirtici işaretler kullanmaya teşvik edildiğinden;</w:t>
      </w:r>
    </w:p>
    <w:p>
      <w:pPr>
        <w:pStyle w:val="style0"/>
      </w:pPr>
      <w:r>
        <w:rPr>
          <w:rFonts w:ascii="Times New Roman" w:cs="Times New Roman" w:hAnsi="Times New Roman"/>
          <w:bCs/>
          <w:i/>
          <w:lang w:val="tr-TR"/>
        </w:rPr>
        <w:t>(56)</w:t>
        <w:tab/>
        <w:t xml:space="preserve">Bununla birlikte, elektronik telif hakkı yönetimine eklenen bilgiyi değiştirmek veya kaldırmak için yasadışı faaliyetlerde bulunulabilme veya bunun dışında, bu çeşit bir bilginin izinsiz olarak eserden veya diğer korunan konulardan silinmesi ile halka veya halkın kullanımına açma, yayımlama, dağıtma veya dağıtmak amacıyla ithal etme tehlikesi bulunduğundan; iç pazarın işleyişini potansiyel olarak engelleyebilecek bütünlükçü olmayan hukuki yaklaşımlardan kaçınmak için, bu faaliyetlerin tümüne karşı uyumlaştırılmış yasal koruma sağlanması ihtiyacı var olduğundan; </w:t>
      </w:r>
    </w:p>
    <w:p>
      <w:pPr>
        <w:pStyle w:val="style0"/>
      </w:pPr>
      <w:r>
        <w:rPr>
          <w:rFonts w:ascii="Times New Roman" w:cs="Times New Roman" w:hAnsi="Times New Roman"/>
          <w:bCs/>
          <w:i/>
          <w:lang w:val="tr-TR"/>
        </w:rPr>
        <w:t>(57)</w:t>
        <w:tab/>
        <w:t>Yukarıda belirtilen şekildeki tüm hak yönetimi bilgileri sistemleri, tasarımlarına bağlı olarak, korunan konuların tüketim biçimleri hakkında kişisel bilgileri işleyebileceğinden ve çevrim içi hareketlerin izlenmesine müsaade edebileceğinden; bu teknik araçlar, kendi teknik işleyişlerinde, bu tarz verilerin serbest dolaşımını ve kişisel verilerin işlenmesi ile ilgili bireylerin korunmasına ilişkin 95/46/AT sayılı ve 24 Ekim 1995 tarihli Avrupa Parlamentosu ve Konsey Direktifi’ne uygun olarak, özel yaşamın korunmasını içerdiğinden;  ‘</w:t>
      </w:r>
    </w:p>
    <w:p>
      <w:pPr>
        <w:pStyle w:val="style0"/>
      </w:pPr>
      <w:r>
        <w:rPr>
          <w:rFonts w:ascii="Times New Roman" w:cs="Times New Roman" w:hAnsi="Times New Roman"/>
          <w:bCs/>
          <w:lang w:val="tr-TR"/>
        </w:rPr>
        <w:t>ifadeleriyle yer almaktadır.</w:t>
      </w:r>
      <w:r>
        <w:rPr>
          <w:rFonts w:ascii="Times New Roman" w:cs="Times New Roman" w:hAnsi="Times New Roman"/>
          <w:b/>
          <w:i/>
          <w:lang w:val="tr-TR"/>
        </w:rPr>
        <w:t xml:space="preserve"> </w:t>
      </w:r>
    </w:p>
    <w:p>
      <w:pPr>
        <w:pStyle w:val="style0"/>
      </w:pPr>
      <w:r>
        <w:rPr>
          <w:rFonts w:ascii="Times New Roman" w:cs="Times New Roman" w:hAnsi="Times New Roman"/>
          <w:b/>
          <w:bCs/>
          <w:i/>
          <w:lang w:val="tr-TR"/>
        </w:rPr>
        <w:t xml:space="preserve">            </w:t>
      </w:r>
      <w:r>
        <w:rPr>
          <w:rFonts w:ascii="Times New Roman" w:cs="Times New Roman" w:hAnsi="Times New Roman"/>
          <w:b/>
          <w:bCs/>
          <w:i/>
          <w:lang w:val="tr-TR"/>
        </w:rPr>
        <w:t>Direktifin ‘</w:t>
      </w:r>
      <w:r>
        <w:rPr>
          <w:rFonts w:ascii="Times New Roman" w:cs="Times New Roman" w:hAnsi="Times New Roman"/>
          <w:b/>
          <w:bCs/>
          <w:i/>
        </w:rPr>
        <w:t>Teknolojik Önlemlerle ilgili Yükümlülükler</w:t>
      </w:r>
      <w:r>
        <w:rPr>
          <w:rFonts w:ascii="Times New Roman" w:cs="Times New Roman" w:hAnsi="Times New Roman"/>
          <w:b/>
          <w:bCs/>
          <w:i/>
          <w:lang w:val="tr-TR"/>
        </w:rPr>
        <w:t>’başlıklı 6. Maddesinde</w:t>
      </w:r>
      <w:r>
        <w:rPr>
          <w:rFonts w:ascii="Times New Roman" w:cs="Times New Roman" w:hAnsi="Times New Roman"/>
          <w:bCs/>
          <w:lang w:val="tr-TR"/>
        </w:rPr>
        <w:t xml:space="preserve">  ‘teknolojik önlemler’ ifadesi, normal işleyiş sürecinde eser veya diğer konular ile ilgili, telif hakkı veya telif hakkı ile bağlantılı olarak hukuken sağlanan kendine özgü </w:t>
      </w:r>
      <w:r>
        <w:rPr>
          <w:rFonts w:ascii="Times New Roman" w:cs="Times New Roman" w:hAnsi="Times New Roman"/>
          <w:bCs/>
          <w:i/>
          <w:lang w:val="tr-TR"/>
        </w:rPr>
        <w:t>(sui generis)</w:t>
      </w:r>
      <w:r>
        <w:rPr>
          <w:rFonts w:ascii="Times New Roman" w:cs="Times New Roman" w:hAnsi="Times New Roman"/>
          <w:bCs/>
          <w:lang w:val="tr-TR"/>
        </w:rPr>
        <w:t xml:space="preserve"> hak gibi, tüm hakların sahibi tarafından müsaade edilmeyen kullanımları önlemek ve sınırlandırmak için tasarlanan her türlü teknoloji, araç veya bileşen’ olarak tanımlanmaktadır.</w:t>
      </w:r>
    </w:p>
    <w:p>
      <w:pPr>
        <w:pStyle w:val="style0"/>
      </w:pPr>
      <w:r>
        <w:rPr>
          <w:rFonts w:ascii="Times New Roman" w:cs="Times New Roman" w:hAnsi="Times New Roman"/>
          <w:bCs/>
          <w:lang w:val="tr-TR"/>
        </w:rPr>
        <w:tab/>
        <w:t xml:space="preserve"> Bu bağlamda  da, hak sahibi tarafından, bir eserin veya diğer bir konunun, korunması amacını gerçekleştiren şifreleme, karıştırma ya da eser veya diğer konuların diğer yollarla transformasyonu ya da kopyalama denetim mekanizması gibi erişim kontrolü ya da koruma işlemlerinin uygulanması halinde Teknolojik önlemlerin   “etkili” sayılacağı belirtilmiş ve   sözkonusu   maddenin 1 bend  ile de  etkili teknolojik önlemlerin, bu amacı taşıdığını bilen veya bilmesi için makul gerekçeleri bulunan kişi tarafından engellenmesine karşı Üye devletlerin etkili yasal korumayı  sağlaması gerektiği hususları   hükme bağlanmaktadır. </w:t>
      </w:r>
    </w:p>
    <w:p>
      <w:pPr>
        <w:pStyle w:val="style0"/>
      </w:pPr>
      <w:r>
        <w:rPr>
          <w:rFonts w:ascii="Times New Roman" w:cs="Times New Roman" w:hAnsi="Times New Roman"/>
          <w:bCs/>
          <w:lang w:val="tr-TR"/>
        </w:rPr>
        <w:tab/>
        <w:t xml:space="preserve">Ayrıca </w:t>
      </w:r>
      <w:r>
        <w:rPr>
          <w:rFonts w:ascii="Times New Roman" w:cs="Times New Roman" w:hAnsi="Times New Roman"/>
          <w:b/>
          <w:bCs/>
          <w:i/>
          <w:lang w:val="tr-TR"/>
        </w:rPr>
        <w:t>6. maddenin 4. bendi</w:t>
      </w:r>
      <w:r>
        <w:rPr>
          <w:rFonts w:ascii="Times New Roman" w:cs="Times New Roman" w:hAnsi="Times New Roman"/>
          <w:bCs/>
          <w:lang w:val="tr-TR"/>
        </w:rPr>
        <w:t xml:space="preserve"> ile  üye devletlerin  ulusal hukuklarında sağlanan istisna veya sınırlamadan yararlanmayı gerektirdiği ölçüde ve faydalanıcının söz konusu esere veya diğer konuya yasal yollardan eriştiği hallerde, sınırlama ve istisnadan yararlanma araçlarına erişimini sağlamasını garanti altına alan uygun tedbirleri alması hususu da düzenlenmektedir.</w:t>
      </w:r>
    </w:p>
    <w:p>
      <w:pPr>
        <w:pStyle w:val="style0"/>
      </w:pPr>
      <w:r>
        <w:rPr>
          <w:rFonts w:ascii="Times New Roman" w:cs="Times New Roman" w:hAnsi="Times New Roman"/>
          <w:bCs/>
          <w:lang w:val="tr-TR"/>
        </w:rPr>
        <w:t xml:space="preserve">    </w:t>
      </w:r>
      <w:r>
        <w:rPr>
          <w:rFonts w:ascii="Times New Roman" w:cs="Times New Roman" w:hAnsi="Times New Roman"/>
          <w:bCs/>
          <w:lang w:val="tr-TR"/>
        </w:rPr>
        <w:t>Bu çerçevede  son yıllarda  fikri mülkiyet hakkı  sahiplerinin haklarının korunması  ve yönetilmesi amacına yönelik   elektronik ortamda bulunan dijital veriler üzerinde  hak sahiplerinin ve haklarının  tanımlanmasını  ve dijital medya  kullanımının   izin verilen veya kısıtlanan haklar çerçevesinde gerçekleştirilmesini sağlayan   dijital hak yönetimi teknolojileri(DRM) ve sistemleri etkin olarak kullanılmaktadır.</w:t>
      </w:r>
    </w:p>
    <w:p>
      <w:pPr>
        <w:pStyle w:val="style0"/>
      </w:pPr>
      <w:r>
        <w:rPr>
          <w:rFonts w:ascii="Times New Roman" w:cs="Times New Roman" w:hAnsi="Times New Roman"/>
          <w:bCs/>
          <w:i/>
          <w:lang w:val="tr-TR"/>
        </w:rPr>
        <w:t xml:space="preserve">   </w:t>
      </w:r>
      <w:r>
        <w:rPr>
          <w:rFonts w:ascii="Times New Roman" w:cs="Times New Roman" w:hAnsi="Times New Roman"/>
          <w:bCs/>
          <w:i/>
          <w:lang w:val="tr-TR"/>
        </w:rPr>
        <w:t>2-</w:t>
      </w:r>
      <w:r>
        <w:rPr>
          <w:rFonts w:ascii="Times New Roman" w:cs="Times New Roman" w:hAnsi="Times New Roman"/>
          <w:b/>
          <w:bCs/>
          <w:i/>
          <w:lang w:val="tr-TR"/>
        </w:rPr>
        <w:t>ulusal mevzuat bakımından</w:t>
      </w:r>
      <w:r>
        <w:rPr>
          <w:rFonts w:ascii="Times New Roman" w:cs="Times New Roman" w:hAnsi="Times New Roman"/>
          <w:bCs/>
          <w:lang w:val="tr-TR"/>
        </w:rPr>
        <w:t xml:space="preserve"> </w:t>
      </w:r>
    </w:p>
    <w:p>
      <w:pPr>
        <w:pStyle w:val="style0"/>
      </w:pPr>
      <w:r>
        <w:rPr>
          <w:rFonts w:ascii="Times New Roman" w:cs="Times New Roman" w:hAnsi="Times New Roman"/>
          <w:bCs/>
          <w:i/>
          <w:iCs/>
          <w:lang w:val="tr-TR"/>
        </w:rPr>
        <w:t xml:space="preserve"> </w:t>
      </w:r>
      <w:r>
        <w:rPr>
          <w:rFonts w:ascii="Times New Roman" w:cs="Times New Roman" w:hAnsi="Times New Roman"/>
          <w:bCs/>
          <w:i/>
          <w:iCs/>
          <w:lang w:val="tr-TR"/>
        </w:rPr>
        <w:t xml:space="preserve">Fikir ve Sanat Eserleri Kanununun  (FSEK )İşaret, ses ve/veya görüntü nakline yarayan araçlarla umuma iletim hakkı başlıklı </w:t>
      </w:r>
      <w:r>
        <w:rPr>
          <w:rFonts w:ascii="Times New Roman" w:cs="Times New Roman" w:hAnsi="Times New Roman"/>
          <w:bCs/>
          <w:lang w:val="tr-TR"/>
        </w:rPr>
        <w:t xml:space="preserve">  25. Maddesi </w:t>
      </w:r>
    </w:p>
    <w:p>
      <w:pPr>
        <w:pStyle w:val="style0"/>
      </w:pPr>
      <w:r>
        <w:rPr>
          <w:rFonts w:ascii="Times New Roman" w:cs="Times New Roman" w:hAnsi="Times New Roman"/>
          <w:b/>
          <w:bCs/>
          <w:i/>
          <w:lang w:val="tr-TR"/>
        </w:rPr>
        <w:t>‘</w:t>
      </w:r>
      <w:r>
        <w:rPr>
          <w:rFonts w:ascii="Times New Roman" w:cs="Times New Roman" w:hAnsi="Times New Roman"/>
          <w:bCs/>
          <w:i/>
          <w:lang w:val="tr-TR"/>
        </w:rPr>
        <w:t xml:space="preserve">Bir eserin aslını veya çoğaltılmış nüshalarını, radyo-televizyon, uydu ve kablo gibi telli veya telsiz yayın yapan kuruluşlar vasıtasıyla veya </w:t>
      </w:r>
      <w:r>
        <w:rPr>
          <w:rFonts w:ascii="Times New Roman" w:cs="Times New Roman" w:hAnsi="Times New Roman"/>
          <w:bCs/>
          <w:lang w:val="tr-TR"/>
        </w:rPr>
        <w:t xml:space="preserve">dijital iletim de dahil olmak üzere </w:t>
      </w:r>
      <w:r>
        <w:rPr>
          <w:rFonts w:ascii="Times New Roman" w:cs="Times New Roman" w:hAnsi="Times New Roman"/>
          <w:b/>
          <w:bCs/>
          <w:i/>
          <w:lang w:val="tr-TR"/>
        </w:rPr>
        <w:t xml:space="preserve">işaret, ses ve/veya görüntü nakline yarayan araçlarla </w:t>
      </w:r>
      <w:r>
        <w:rPr>
          <w:rFonts w:ascii="Times New Roman" w:cs="Times New Roman" w:hAnsi="Times New Roman"/>
          <w:bCs/>
          <w:lang w:val="tr-TR"/>
        </w:rPr>
        <w:t xml:space="preserve">yayınlanması ve </w:t>
      </w:r>
      <w:r>
        <w:rPr>
          <w:rFonts w:ascii="Times New Roman" w:cs="Times New Roman" w:hAnsi="Times New Roman"/>
          <w:bCs/>
          <w:i/>
          <w:lang w:val="tr-TR"/>
        </w:rPr>
        <w:t xml:space="preserve">yayınlanan eserlerin bu kuruluşların yayınlarından alınarak başka yayın kuruluşları tarafından yeniden yayınlanması suretiyle </w:t>
      </w:r>
      <w:r>
        <w:rPr>
          <w:rFonts w:ascii="Times New Roman" w:cs="Times New Roman" w:hAnsi="Times New Roman"/>
          <w:b/>
          <w:bCs/>
          <w:lang w:val="tr-TR"/>
        </w:rPr>
        <w:t>umuma iletilmesi hakkı</w:t>
      </w:r>
      <w:r>
        <w:rPr>
          <w:rFonts w:ascii="Times New Roman" w:cs="Times New Roman" w:hAnsi="Times New Roman"/>
          <w:bCs/>
          <w:i/>
          <w:lang w:val="tr-TR"/>
        </w:rPr>
        <w:t xml:space="preserve"> munhasıran eser sahibine aittir. </w:t>
      </w:r>
    </w:p>
    <w:p>
      <w:pPr>
        <w:pStyle w:val="style0"/>
      </w:pPr>
      <w:r>
        <w:rPr>
          <w:rFonts w:ascii="Times New Roman" w:cs="Times New Roman" w:hAnsi="Times New Roman"/>
          <w:bCs/>
          <w:i/>
          <w:lang w:val="tr-TR"/>
        </w:rPr>
        <w:t xml:space="preserve">Eser sahibi, eserinin aslı ya da çoğaltılmış nüshalarının telli veya telsiz araçlarla satışı veya diğer biçimlerde umuma dağıtılmasına veya sunulmasına </w:t>
      </w:r>
      <w:r>
        <w:rPr>
          <w:rFonts w:ascii="Times New Roman" w:cs="Times New Roman" w:hAnsi="Times New Roman"/>
          <w:b/>
          <w:bCs/>
          <w:i/>
          <w:lang w:val="tr-TR"/>
        </w:rPr>
        <w:t>ve gerçek kişilerin seçtikleri yer ve zamanda eserine erişimini sağlamak suretiyle umuma iletimine izin vermek veya yasaklamak hakkına</w:t>
      </w:r>
      <w:r>
        <w:rPr>
          <w:rFonts w:ascii="Times New Roman" w:cs="Times New Roman" w:hAnsi="Times New Roman"/>
          <w:bCs/>
          <w:i/>
          <w:lang w:val="tr-TR"/>
        </w:rPr>
        <w:t xml:space="preserve"> da sahiptir..</w:t>
      </w:r>
    </w:p>
    <w:p>
      <w:pPr>
        <w:pStyle w:val="style0"/>
      </w:pPr>
      <w:r>
        <w:rPr>
          <w:rFonts w:ascii="Times New Roman" w:cs="Times New Roman" w:hAnsi="Times New Roman"/>
          <w:bCs/>
          <w:i/>
          <w:lang w:val="tr-TR"/>
        </w:rPr>
        <w:t>Bu madde ile düzenlenen umuma iletim yoluyla eserlerin dağıtım ve sunumu eser sahibinin yayma hakkını ihlal etmez</w:t>
      </w:r>
      <w:r>
        <w:rPr>
          <w:rFonts w:ascii="Times New Roman" w:cs="Times New Roman" w:hAnsi="Times New Roman"/>
          <w:bCs/>
          <w:lang w:val="tr-TR"/>
        </w:rPr>
        <w:t>. ‘ hükmünü amirdir.</w:t>
      </w:r>
    </w:p>
    <w:p>
      <w:pPr>
        <w:pStyle w:val="style0"/>
      </w:pPr>
      <w:r>
        <w:rPr>
          <w:rFonts w:ascii="Times New Roman" w:cs="Times New Roman" w:hAnsi="Times New Roman"/>
          <w:bCs/>
          <w:lang w:val="tr-TR"/>
        </w:rPr>
        <w:t xml:space="preserve">      </w:t>
      </w:r>
      <w:r>
        <w:rPr>
          <w:rFonts w:ascii="Times New Roman" w:cs="Times New Roman" w:hAnsi="Times New Roman"/>
          <w:bCs/>
          <w:lang w:val="tr-TR"/>
        </w:rPr>
        <w:t>Eser sahiplerine  25. Madde ile tanınan haklara paralel şekilde sözkonusu  hakka  ilişkin bağlantılı haklar hususunda  da FSEK’in  80. maddesi ile  benzer  düzenleme  yapılmıştır.</w:t>
      </w:r>
    </w:p>
    <w:p>
      <w:pPr>
        <w:pStyle w:val="style0"/>
      </w:pPr>
      <w:r>
        <w:rPr>
          <w:rFonts w:ascii="Times New Roman" w:cs="Times New Roman" w:hAnsi="Times New Roman"/>
          <w:bCs/>
          <w:lang w:val="tr-TR"/>
        </w:rPr>
        <w:t xml:space="preserve">          </w:t>
      </w:r>
      <w:r>
        <w:rPr>
          <w:rFonts w:ascii="Times New Roman" w:cs="Times New Roman" w:hAnsi="Times New Roman"/>
          <w:bCs/>
          <w:lang w:val="tr-TR"/>
        </w:rPr>
        <w:t>FSEK kapsamında eser ve hak sahiplerinin haklarının ihlali halinde hukuk ve ceza davalarından yararlanabileceğine ilişkin düzenlemeler mevcuttur.</w:t>
      </w:r>
      <w:r>
        <w:rPr>
          <w:rFonts w:ascii="Times New Roman" w:cs="Times New Roman" w:hAnsi="Times New Roman"/>
          <w:bCs/>
          <w:i/>
          <w:iCs/>
          <w:lang w:val="tr-TR"/>
        </w:rPr>
        <w:t xml:space="preserve">Mali haklara tecavüz halinde başlıklı 68. maddenin  birinci fıkrasında </w:t>
      </w:r>
    </w:p>
    <w:p>
      <w:pPr>
        <w:pStyle w:val="style0"/>
      </w:pPr>
      <w:r>
        <w:rPr>
          <w:rFonts w:ascii="Times New Roman" w:cs="Times New Roman" w:hAnsi="Times New Roman"/>
          <w:bCs/>
          <w:i/>
          <w:iCs/>
          <w:lang w:val="tr-TR"/>
        </w:rPr>
        <w:t>‘</w:t>
      </w:r>
      <w:r>
        <w:rPr>
          <w:rFonts w:ascii="Times New Roman" w:cs="Times New Roman" w:hAnsi="Times New Roman"/>
          <w:bCs/>
          <w:i/>
          <w:iCs/>
          <w:lang w:val="tr-TR"/>
        </w:rPr>
        <w:t xml:space="preserve">Eseri, icrayı, fonogramı veya yapımları hak sahiplerinden bu Kanuna uygun yazılı izni almadan, işleyen, çoğaltan, çoğaltılmış nüshaları yayan, temsil eden </w:t>
      </w:r>
      <w:r>
        <w:rPr>
          <w:rFonts w:ascii="Times New Roman" w:cs="Times New Roman" w:hAnsi="Times New Roman"/>
          <w:b/>
          <w:bCs/>
          <w:iCs/>
          <w:lang w:val="tr-TR"/>
        </w:rPr>
        <w:t>veya hertürlü işaret, ses veya görüntü nakline yarayan araçlarla umuma iletenlerden,</w:t>
      </w:r>
      <w:r>
        <w:rPr>
          <w:rFonts w:ascii="Times New Roman" w:cs="Times New Roman" w:hAnsi="Times New Roman"/>
          <w:bCs/>
          <w:i/>
          <w:iCs/>
          <w:lang w:val="tr-TR"/>
        </w:rPr>
        <w:t xml:space="preserve"> izni alınmamış hak sahipleri sözleşme yapılmış olması halinde isteyebileceği bedelin veya bu Kanun hükümleri uyarınca tespit edilecek rayiç bedelin en çok üç kat fazlasını isteyebilir. ‘</w:t>
      </w:r>
    </w:p>
    <w:p>
      <w:pPr>
        <w:pStyle w:val="style0"/>
      </w:pPr>
      <w:r>
        <w:rPr>
          <w:rFonts w:ascii="Times New Roman" w:cs="Times New Roman" w:hAnsi="Times New Roman"/>
          <w:bCs/>
          <w:iCs/>
          <w:lang w:val="tr-TR"/>
        </w:rPr>
        <w:t>ifadeleriyle tazminata ilişkin hususlar da düzenlenmektedir.</w:t>
      </w:r>
    </w:p>
    <w:p>
      <w:pPr>
        <w:pStyle w:val="style0"/>
        <w:jc w:val="both"/>
      </w:pPr>
      <w:r>
        <w:rPr>
          <w:rFonts w:ascii="Times New Roman" w:cs="Times New Roman" w:hAnsi="Times New Roman"/>
          <w:bCs/>
          <w:iCs/>
          <w:lang w:val="tr-TR"/>
        </w:rPr>
        <w:t xml:space="preserve">    </w:t>
      </w:r>
      <w:r>
        <w:rPr>
          <w:rFonts w:ascii="Times New Roman" w:cs="Times New Roman" w:hAnsi="Times New Roman"/>
          <w:bCs/>
          <w:iCs/>
          <w:lang w:val="tr-TR"/>
        </w:rPr>
        <w:t>Diğer taraftan FSEK’in Ceza davalarına ilişkin bölümünde  Manevi, mali veya bağlantılı haklara tecavüz  başlıklı 71. Maddenin birinci fıkrası</w:t>
      </w:r>
    </w:p>
    <w:p>
      <w:pPr>
        <w:pStyle w:val="style0"/>
        <w:jc w:val="both"/>
      </w:pPr>
      <w:r>
        <w:rPr>
          <w:rFonts w:ascii="Times New Roman" w:cs="Times New Roman" w:hAnsi="Times New Roman"/>
          <w:bCs/>
          <w:i/>
          <w:iCs/>
          <w:lang w:val="tr-TR"/>
        </w:rPr>
        <w:t>‘</w:t>
      </w:r>
      <w:r>
        <w:rPr>
          <w:rFonts w:ascii="Times New Roman" w:cs="Times New Roman" w:hAnsi="Times New Roman"/>
          <w:bCs/>
          <w:i/>
          <w:iCs/>
          <w:lang w:val="tr-TR"/>
        </w:rPr>
        <w:t xml:space="preserve">Bu kanunda koruma altına alınan fikir ve sanat eserleriyle ilgili manevi, mali veya bağlantılı hakları ihlal ederek: </w:t>
      </w:r>
    </w:p>
    <w:p>
      <w:pPr>
        <w:pStyle w:val="style0"/>
        <w:ind w:hanging="0" w:left="360" w:right="0"/>
        <w:jc w:val="both"/>
      </w:pPr>
      <w:r>
        <w:rPr>
          <w:rFonts w:ascii="Times New Roman" w:cs="Times New Roman" w:hAnsi="Times New Roman"/>
          <w:bCs/>
          <w:i/>
          <w:iCs/>
          <w:lang w:val="tr-TR"/>
        </w:rPr>
        <w:t xml:space="preserve">Bir eseri, icrayı, fonogramı veya yapımı hak sahibi kişilerin yazılı izni olmaksızın işleyen, temsil eden, çoğaltan, değiştiren, dağıtan, </w:t>
      </w:r>
      <w:r>
        <w:rPr>
          <w:rFonts w:ascii="Times New Roman" w:cs="Times New Roman" w:hAnsi="Times New Roman"/>
          <w:b/>
          <w:bCs/>
          <w:i/>
          <w:iCs/>
          <w:lang w:val="tr-TR"/>
        </w:rPr>
        <w:t xml:space="preserve">her türlü işaret, ses veya görüntü nakline yarayan araçlarla umuma ileten, </w:t>
      </w:r>
      <w:r>
        <w:rPr>
          <w:rFonts w:ascii="Times New Roman" w:cs="Times New Roman" w:hAnsi="Times New Roman"/>
          <w:bCs/>
          <w:i/>
          <w:iCs/>
          <w:lang w:val="tr-TR"/>
        </w:rPr>
        <w:t>yayımlayan ya da hukuka aykırı olarak işlenen veya çoğaltılan eserleri satışa arz eden, satan, kiralamak veya ödünç vermek suretiyle ya da sair şekilde yayan, ticarî amaçla satın alan, ithal veya ihraç eden, kişisel kullanım amacı dışında elinde bulunduran ya da depolayan kişi hakkında bir yıldan beş yıla kadar hapis veya adlî para cezasına hükmolunur.’</w:t>
      </w:r>
    </w:p>
    <w:p>
      <w:pPr>
        <w:pStyle w:val="style0"/>
        <w:ind w:hanging="0" w:left="360" w:right="0"/>
        <w:jc w:val="both"/>
      </w:pPr>
      <w:r>
        <w:rPr>
          <w:rFonts w:ascii="Times New Roman" w:cs="Times New Roman" w:hAnsi="Times New Roman"/>
          <w:bCs/>
          <w:iCs/>
          <w:lang w:val="tr-TR"/>
        </w:rPr>
        <w:t>şeklinde  düzenlenmiştir.</w:t>
      </w:r>
    </w:p>
    <w:p>
      <w:pPr>
        <w:pStyle w:val="style26"/>
        <w:jc w:val="both"/>
      </w:pPr>
      <w:r>
        <w:rPr>
          <w:rFonts w:ascii="Times New Roman" w:cs="Times New Roman" w:hAnsi="Times New Roman"/>
          <w:bCs/>
          <w:i/>
          <w:iCs/>
          <w:lang w:val="tr-TR"/>
        </w:rPr>
        <w:t>Ayrıca  5846 sayılı   Fikir ve Sanat Eserleri Kanununun ek 4. Maddenin birinci fıkrası  uluslararası sözleşmelerin ve  AB direktiflerinin ilgili hükümleriyle    önemli ölçüde uyumluluk arzetmektedir. Bununla birlikte uluslararası düzenlemelerle  birebir örtüşecek şekilde ve tam uyumun sağlanmasına yönelik bazı değişikliklerin yapılması gerekli görülmektedir.</w:t>
      </w:r>
    </w:p>
    <w:p>
      <w:pPr>
        <w:pStyle w:val="style26"/>
        <w:jc w:val="both"/>
      </w:pPr>
      <w:r>
        <w:rPr>
          <w:rFonts w:ascii="Times New Roman" w:cs="Times New Roman" w:hAnsi="Times New Roman"/>
          <w:b/>
          <w:bCs/>
          <w:i/>
          <w:iCs/>
          <w:lang w:val="tr-TR"/>
        </w:rPr>
        <w:t xml:space="preserve">             </w:t>
      </w:r>
      <w:r>
        <w:rPr>
          <w:rFonts w:ascii="Times New Roman" w:cs="Times New Roman" w:hAnsi="Times New Roman"/>
          <w:b/>
          <w:bCs/>
          <w:i/>
          <w:iCs/>
          <w:lang w:val="tr-TR"/>
        </w:rPr>
        <w:t>Ek madde 4</w:t>
      </w:r>
      <w:r>
        <w:rPr>
          <w:rFonts w:ascii="Times New Roman" w:cs="Times New Roman" w:hAnsi="Times New Roman"/>
          <w:bCs/>
          <w:i/>
          <w:iCs/>
          <w:lang w:val="tr-TR"/>
        </w:rPr>
        <w:t xml:space="preserve">   ‘Eser ve eser sahibi ile eser üzerindeki haklardan herhangi birinin sahibi veya eserin kullanımına ilişkin süreler ve şartlar ile ilgili olarak eser nüshaları üzerinde bulunan veya eserin topluma sunulması sırasında görülen bilgiler ve bu bilgileri temsil eden sayılar veya kodlar yetkisiz olarak değiştirilen veya ortadan kaldırılan eserlerin asılları veya kopyaları dağıtılamaz, dağıtılmak üzere ithal edilemez, yayınlanamaz veya topluma iletilemez. </w:t>
      </w:r>
    </w:p>
    <w:p>
      <w:pPr>
        <w:pStyle w:val="style26"/>
        <w:jc w:val="both"/>
      </w:pPr>
      <w:r>
        <w:rPr>
          <w:rFonts w:ascii="Times New Roman" w:cs="Times New Roman" w:hAnsi="Times New Roman"/>
          <w:bCs/>
          <w:i/>
          <w:iCs/>
          <w:lang w:val="tr-TR"/>
        </w:rPr>
        <w:t xml:space="preserve">    </w:t>
      </w:r>
      <w:r>
        <w:rPr>
          <w:rFonts w:ascii="Times New Roman" w:cs="Times New Roman" w:hAnsi="Times New Roman"/>
          <w:bCs/>
          <w:i/>
          <w:iCs/>
          <w:lang w:val="tr-TR"/>
        </w:rPr>
        <w:t xml:space="preserve">Yukarıdaki fıkra hükümleri fonogramlar ve fonogramlarda tespit edilmiş icralar bakımından da uygulanır.’ hükmünü amirdir. </w:t>
      </w:r>
    </w:p>
    <w:p>
      <w:pPr>
        <w:pStyle w:val="style26"/>
        <w:jc w:val="both"/>
      </w:pPr>
      <w:r>
        <w:rPr>
          <w:rFonts w:ascii="Times New Roman" w:cs="Times New Roman" w:hAnsi="Times New Roman"/>
          <w:b/>
          <w:bCs/>
          <w:i/>
          <w:iCs/>
          <w:lang w:val="tr-TR"/>
        </w:rPr>
        <w:t xml:space="preserve">        </w:t>
      </w:r>
      <w:r>
        <w:rPr>
          <w:rFonts w:ascii="Times New Roman" w:cs="Times New Roman" w:hAnsi="Times New Roman"/>
          <w:b/>
          <w:bCs/>
          <w:i/>
          <w:iCs/>
          <w:lang w:val="tr-TR"/>
        </w:rPr>
        <w:t>Ayni maddenin 2. fıkrası  ile</w:t>
      </w:r>
      <w:r>
        <w:rPr>
          <w:rFonts w:ascii="Times New Roman" w:cs="Times New Roman" w:hAnsi="Times New Roman"/>
          <w:bCs/>
          <w:i/>
          <w:iCs/>
          <w:lang w:val="tr-TR"/>
        </w:rPr>
        <w:t xml:space="preserve"> Dijital iletim de dahil olmak üzere işaret, ses ve/veya görüntü nakline yarayan araçlarla servis ve bilgi içerik sağlayıcılar tarafından eser sahipleri ile bağlantılı hak sahiplerinin  Kanunda tanınmış haklarının ihlâli halinde uygulanacak usul belirlenmektedir. </w:t>
      </w:r>
    </w:p>
    <w:p>
      <w:pPr>
        <w:pStyle w:val="style26"/>
        <w:jc w:val="both"/>
      </w:pPr>
      <w:r>
        <w:rPr>
          <w:rFonts w:ascii="Times New Roman" w:cs="Times New Roman" w:hAnsi="Times New Roman"/>
          <w:b/>
          <w:bCs/>
          <w:i/>
          <w:iCs/>
          <w:lang w:val="tr-TR"/>
        </w:rPr>
        <w:t>Ek madde 4’ün ihlali halinde 71. maddenin ikinci ve üçüncü    fıkrası</w:t>
      </w:r>
      <w:r>
        <w:rPr>
          <w:rFonts w:ascii="Times New Roman" w:cs="Times New Roman" w:hAnsi="Times New Roman"/>
          <w:bCs/>
          <w:i/>
          <w:iCs/>
          <w:lang w:val="tr-TR"/>
        </w:rPr>
        <w:t xml:space="preserve"> hükmü uygulanmaktadır.Bu hüküm </w:t>
      </w:r>
    </w:p>
    <w:p>
      <w:pPr>
        <w:pStyle w:val="style26"/>
        <w:jc w:val="both"/>
      </w:pPr>
      <w:r>
        <w:rPr>
          <w:rFonts w:ascii="Times New Roman" w:cs="Times New Roman" w:hAnsi="Times New Roman"/>
          <w:bCs/>
          <w:i/>
          <w:iCs/>
          <w:lang w:val="tr-TR"/>
        </w:rPr>
        <w:t xml:space="preserve">‘ </w:t>
      </w:r>
      <w:r>
        <w:rPr>
          <w:rFonts w:ascii="Times New Roman" w:cs="Times New Roman" w:hAnsi="Times New Roman"/>
          <w:bCs/>
          <w:i/>
          <w:iCs/>
          <w:lang w:val="tr-TR"/>
        </w:rPr>
        <w:t xml:space="preserve">Bu Kanunun ek 4 üncü maddesinin birinci fıkrasında bahsi geçen fiilleri yetkisiz olarak işleyenler ile bu Kanunda tanınmış hakları ihlâl etmeye devam eden bilgi içerik sağlayıcılar hakkında, fiilleri daha ağır cezayı gerektiren bir suç oluşturmadığı takdirde, üç aydan iki yıla kadar hapis cezasına hükmolunur. </w:t>
      </w:r>
    </w:p>
    <w:p>
      <w:pPr>
        <w:pStyle w:val="style0"/>
        <w:jc w:val="both"/>
      </w:pPr>
      <w:r>
        <w:rPr>
          <w:rFonts w:ascii="Times New Roman" w:cs="Times New Roman" w:hAnsi="Times New Roman"/>
          <w:bCs/>
          <w:i/>
          <w:iCs/>
          <w:lang w:val="tr-TR"/>
        </w:rPr>
        <w:t xml:space="preserve"> </w:t>
      </w:r>
      <w:r>
        <w:rPr>
          <w:rFonts w:ascii="Times New Roman" w:cs="Times New Roman" w:hAnsi="Times New Roman"/>
          <w:bCs/>
          <w:i/>
          <w:iCs/>
          <w:lang w:val="tr-TR"/>
        </w:rPr>
        <w:t xml:space="preserve">Hukuka aykırı olarak üretilmiş, işlenmiş, çoğaltılmış, dağıtılmış veya yayımlanmış bir eseri, icrayı, fonogramı veya yapımı satışa arz eden, satan veya satın alan kişi, kovuşturma evresinden önce bunları kimden temin ettiğini bildirerek yakalanmalarını sağladığı takdirde, hakkında verilecek cezadan indirim yapılabileceği gibi ceza vermekten de vazgeçilebilir.’ </w:t>
      </w:r>
    </w:p>
    <w:p>
      <w:pPr>
        <w:pStyle w:val="style0"/>
        <w:jc w:val="both"/>
      </w:pPr>
      <w:r>
        <w:rPr>
          <w:rFonts w:ascii="Times New Roman" w:cs="Times New Roman" w:hAnsi="Times New Roman"/>
          <w:bCs/>
          <w:iCs/>
          <w:lang w:val="tr-TR"/>
        </w:rPr>
        <w:t>ifadeleri ile düzenlenmiştir.</w:t>
      </w:r>
    </w:p>
    <w:p>
      <w:pPr>
        <w:pStyle w:val="style0"/>
      </w:pPr>
      <w:r>
        <w:rPr>
          <w:rFonts w:ascii="Times New Roman" w:cs="Times New Roman" w:hAnsi="Times New Roman"/>
          <w:bCs/>
          <w:lang w:val="tr-TR"/>
        </w:rPr>
        <w:t xml:space="preserve">      </w:t>
      </w:r>
      <w:r>
        <w:rPr>
          <w:rFonts w:ascii="Times New Roman" w:cs="Times New Roman" w:hAnsi="Times New Roman"/>
          <w:bCs/>
          <w:lang w:val="tr-TR"/>
        </w:rPr>
        <w:t>Yukarıda telif hakları bakımından dijital yayıncılığın özelikle umuma iletim hakkı kapsamında hukuki çerçevesi   aktarılmaya çalışılmıştır. Bununla birlikte İçerik sağlayıcılar, hizmet sağlayıcılar ve teknoloji sağlayıcılar  ile kullanıcılar,tüketiciler gibi çok taraflı ve karmaşık   bir konunun çok boyutlu ve teknik düzeyde ele alınması zorunlu görülmektedir.Bu çalışmada değinilmemekle birlikte hak sahipleri  telif birliklerinin içeriğin oluşturulması ,korunması , iletilmesinde ve bu içeriğin  bireylerin erişimine açılmasında temel bir rol üstleneceği aşikardır.</w:t>
      </w:r>
    </w:p>
    <w:p>
      <w:pPr>
        <w:pStyle w:val="style0"/>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DejaVu Sans" w:hAnsi="Calibri"/>
      <w:color w:val="auto"/>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Gövde Metni Girintisi Char"/>
    <w:basedOn w:val="style15"/>
    <w:next w:val="style17"/>
    <w:rPr>
      <w:lang w:val="en-US"/>
    </w:rPr>
  </w:style>
  <w:style w:styleId="style18" w:type="character">
    <w:name w:val="Balon Metni Char"/>
    <w:basedOn w:val="style15"/>
    <w:next w:val="style18"/>
    <w:rPr>
      <w:rFonts w:ascii="Tahoma" w:cs="Tahoma" w:hAnsi="Tahoma"/>
      <w:sz w:val="16"/>
      <w:szCs w:val="16"/>
      <w:lang w:val="en-US"/>
    </w:rPr>
  </w:style>
  <w:style w:styleId="style19" w:type="paragraph">
    <w:name w:val="Heading"/>
    <w:basedOn w:val="style0"/>
    <w:next w:val="style20"/>
    <w:pPr>
      <w:keepNext/>
      <w:spacing w:after="120" w:before="240"/>
      <w:contextualSpacing w:val="false"/>
    </w:pPr>
    <w:rPr>
      <w:rFonts w:ascii="Liberation Sans" w:cs="DejaVu Sans" w:eastAsia="DejaVu Sans" w:hAnsi="Liberation Sans"/>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style>
  <w:style w:styleId="style22" w:type="paragraph">
    <w:name w:val="Caption"/>
    <w:basedOn w:val="style0"/>
    <w:next w:val="style22"/>
    <w:pPr>
      <w:suppressLineNumbers/>
      <w:spacing w:after="120" w:before="120"/>
      <w:contextualSpacing w:val="false"/>
    </w:pPr>
    <w:rPr>
      <w:i/>
      <w:iCs/>
      <w:sz w:val="24"/>
      <w:szCs w:val="24"/>
    </w:rPr>
  </w:style>
  <w:style w:styleId="style23" w:type="paragraph">
    <w:name w:val="Index"/>
    <w:basedOn w:val="style0"/>
    <w:next w:val="style23"/>
    <w:pPr>
      <w:suppressLineNumbers/>
    </w:pPr>
    <w:rPr/>
  </w:style>
  <w:style w:styleId="style24" w:type="paragraph">
    <w:name w:val="Text body indent"/>
    <w:basedOn w:val="style0"/>
    <w:next w:val="style24"/>
    <w:pPr>
      <w:spacing w:after="120" w:before="0"/>
      <w:ind w:hanging="0" w:left="283" w:right="0"/>
      <w:contextualSpacing w:val="false"/>
    </w:pPr>
    <w:rPr/>
  </w:style>
  <w:style w:styleId="style25" w:type="paragraph">
    <w:name w:val="Balloon Text"/>
    <w:basedOn w:val="style0"/>
    <w:next w:val="style25"/>
    <w:pPr>
      <w:spacing w:after="0" w:before="0" w:line="100" w:lineRule="atLeast"/>
      <w:contextualSpacing w:val="false"/>
    </w:pPr>
    <w:rPr>
      <w:rFonts w:ascii="Tahoma" w:cs="Tahoma" w:hAnsi="Tahoma"/>
      <w:sz w:val="16"/>
      <w:szCs w:val="16"/>
    </w:rPr>
  </w:style>
  <w:style w:styleId="style26" w:type="paragraph">
    <w:name w:val="List Paragraph"/>
    <w:basedOn w:val="style0"/>
    <w:next w:val="style26"/>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2012-12-12T11:18:00.00Z</dcterms:created>
  <dc:creator>YAYFED</dc:creator>
  <cp:lastModifiedBy>YAYFED</cp:lastModifiedBy>
  <dcterms:modified xsi:type="dcterms:W3CDTF">2012-12-12T14:14:00.00Z</dcterms:modified>
  <cp:revision>7</cp:revision>
</cp:coreProperties>
</file>