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B69" w:rsidRPr="00DA5D27" w:rsidRDefault="00FE08C2" w:rsidP="00DA5D27">
      <w:pPr>
        <w:pStyle w:val="Balk1"/>
        <w:shd w:val="clear" w:color="auto" w:fill="FFFFFF"/>
        <w:spacing w:before="300" w:after="96"/>
        <w:rPr>
          <w:rFonts w:ascii="Arial" w:hAnsi="Arial" w:cs="Arial"/>
          <w:b w:val="0"/>
          <w:bCs w:val="0"/>
          <w:color w:val="891C02"/>
          <w:sz w:val="33"/>
          <w:szCs w:val="33"/>
        </w:rPr>
      </w:pPr>
      <w:r>
        <w:rPr>
          <w:rFonts w:ascii="Arial" w:hAnsi="Arial" w:cs="Arial"/>
          <w:b w:val="0"/>
          <w:bCs w:val="0"/>
          <w:color w:val="891C02"/>
          <w:sz w:val="33"/>
          <w:szCs w:val="33"/>
        </w:rPr>
        <w:t>YAYFED 2018</w:t>
      </w:r>
      <w:r w:rsidR="00C2192F">
        <w:rPr>
          <w:rFonts w:ascii="Arial" w:hAnsi="Arial" w:cs="Arial"/>
          <w:b w:val="0"/>
          <w:bCs w:val="0"/>
          <w:color w:val="891C02"/>
          <w:sz w:val="33"/>
          <w:szCs w:val="33"/>
        </w:rPr>
        <w:t xml:space="preserve"> Yılı</w:t>
      </w:r>
      <w:r w:rsidR="00541D4F">
        <w:rPr>
          <w:rFonts w:ascii="Arial" w:hAnsi="Arial" w:cs="Arial"/>
          <w:b w:val="0"/>
          <w:bCs w:val="0"/>
          <w:color w:val="891C02"/>
          <w:sz w:val="33"/>
          <w:szCs w:val="33"/>
        </w:rPr>
        <w:t xml:space="preserve"> Bandrol Verilerini Açıkladı</w:t>
      </w:r>
    </w:p>
    <w:p w:rsidR="00083A1D" w:rsidRDefault="00083A1D" w:rsidP="00083A1D">
      <w:pPr>
        <w:shd w:val="clear" w:color="auto" w:fill="FFFFFF"/>
        <w:spacing w:after="150" w:line="240" w:lineRule="auto"/>
        <w:jc w:val="both"/>
        <w:rPr>
          <w:rFonts w:ascii="Verdana" w:eastAsia="Times New Roman" w:hAnsi="Verdana" w:cs="Times New Roman"/>
          <w:sz w:val="18"/>
          <w:szCs w:val="18"/>
        </w:rPr>
      </w:pPr>
    </w:p>
    <w:p w:rsidR="00C2192F" w:rsidRDefault="00FE08C2" w:rsidP="00C2192F">
      <w:pPr>
        <w:jc w:val="both"/>
        <w:rPr>
          <w:rFonts w:ascii="Verdana" w:eastAsia="Times New Roman" w:hAnsi="Verdana" w:cs="Times New Roman"/>
          <w:sz w:val="18"/>
          <w:szCs w:val="18"/>
        </w:rPr>
      </w:pPr>
      <w:r>
        <w:rPr>
          <w:rFonts w:ascii="Arial" w:eastAsia="Times New Roman" w:hAnsi="Arial" w:cs="Arial"/>
          <w:color w:val="891C02"/>
          <w:kern w:val="36"/>
          <w:sz w:val="28"/>
          <w:szCs w:val="33"/>
        </w:rPr>
        <w:t>2018</w:t>
      </w:r>
      <w:r w:rsidR="00C2192F">
        <w:rPr>
          <w:rFonts w:ascii="Arial" w:eastAsia="Times New Roman" w:hAnsi="Arial" w:cs="Arial"/>
          <w:color w:val="891C02"/>
          <w:kern w:val="36"/>
          <w:sz w:val="28"/>
          <w:szCs w:val="33"/>
        </w:rPr>
        <w:t xml:space="preserve"> Yılı V</w:t>
      </w:r>
      <w:r w:rsidR="00C2192F" w:rsidRPr="00C2192F">
        <w:rPr>
          <w:rFonts w:ascii="Arial" w:eastAsia="Times New Roman" w:hAnsi="Arial" w:cs="Arial"/>
          <w:color w:val="891C02"/>
          <w:kern w:val="36"/>
          <w:sz w:val="28"/>
          <w:szCs w:val="33"/>
        </w:rPr>
        <w:t>erileri</w:t>
      </w:r>
    </w:p>
    <w:p w:rsidR="00DE21E9" w:rsidRDefault="0020054A" w:rsidP="00E45076">
      <w:pPr>
        <w:jc w:val="both"/>
        <w:rPr>
          <w:rFonts w:ascii="Verdana" w:eastAsia="Times New Roman" w:hAnsi="Verdana" w:cs="Times New Roman"/>
          <w:sz w:val="18"/>
          <w:szCs w:val="18"/>
        </w:rPr>
      </w:pPr>
      <w:r>
        <w:rPr>
          <w:rFonts w:ascii="Verdana" w:eastAsia="Times New Roman" w:hAnsi="Verdana" w:cs="Times New Roman"/>
          <w:sz w:val="18"/>
          <w:szCs w:val="18"/>
        </w:rPr>
        <w:t>A</w:t>
      </w:r>
      <w:r w:rsidR="005D3313">
        <w:rPr>
          <w:rFonts w:ascii="Verdana" w:eastAsia="Times New Roman" w:hAnsi="Verdana" w:cs="Times New Roman"/>
          <w:sz w:val="18"/>
          <w:szCs w:val="18"/>
        </w:rPr>
        <w:t>ra</w:t>
      </w:r>
      <w:r w:rsidR="00FE08C2">
        <w:rPr>
          <w:rFonts w:ascii="Verdana" w:eastAsia="Times New Roman" w:hAnsi="Verdana" w:cs="Times New Roman"/>
          <w:sz w:val="18"/>
          <w:szCs w:val="18"/>
        </w:rPr>
        <w:t>lık ayı ile birlikte 2018</w:t>
      </w:r>
      <w:r>
        <w:rPr>
          <w:rFonts w:ascii="Verdana" w:eastAsia="Times New Roman" w:hAnsi="Verdana" w:cs="Times New Roman"/>
          <w:sz w:val="18"/>
          <w:szCs w:val="18"/>
        </w:rPr>
        <w:t xml:space="preserve"> yılını da geride bırakmış bulunmaktayız. Yayımcı Meslek Birlikleri Federasyonu olarak faaliyetlerimizi sürdürdüğümüz 2011 yılından </w:t>
      </w:r>
      <w:r w:rsidR="001758D4">
        <w:rPr>
          <w:rFonts w:ascii="Verdana" w:eastAsia="Times New Roman" w:hAnsi="Verdana" w:cs="Times New Roman"/>
          <w:sz w:val="18"/>
          <w:szCs w:val="18"/>
        </w:rPr>
        <w:t>itibaren ürettiğimiz</w:t>
      </w:r>
      <w:r>
        <w:rPr>
          <w:rFonts w:ascii="Verdana" w:eastAsia="Times New Roman" w:hAnsi="Verdana" w:cs="Times New Roman"/>
          <w:sz w:val="18"/>
          <w:szCs w:val="18"/>
        </w:rPr>
        <w:t xml:space="preserve"> veriler </w:t>
      </w:r>
      <w:r w:rsidR="00FE08C2">
        <w:rPr>
          <w:rFonts w:ascii="Verdana" w:eastAsia="Times New Roman" w:hAnsi="Verdana" w:cs="Times New Roman"/>
          <w:sz w:val="18"/>
          <w:szCs w:val="18"/>
        </w:rPr>
        <w:t xml:space="preserve">ışığında 2018 yılı sonunda ulaştığımız </w:t>
      </w:r>
      <w:proofErr w:type="gramStart"/>
      <w:r w:rsidR="00FE08C2">
        <w:rPr>
          <w:rFonts w:ascii="Verdana" w:eastAsia="Times New Roman" w:hAnsi="Verdana" w:cs="Times New Roman"/>
          <w:sz w:val="18"/>
          <w:szCs w:val="18"/>
        </w:rPr>
        <w:t>bandrol</w:t>
      </w:r>
      <w:proofErr w:type="gramEnd"/>
      <w:r w:rsidR="00FE08C2">
        <w:rPr>
          <w:rFonts w:ascii="Verdana" w:eastAsia="Times New Roman" w:hAnsi="Verdana" w:cs="Times New Roman"/>
          <w:sz w:val="18"/>
          <w:szCs w:val="18"/>
        </w:rPr>
        <w:t xml:space="preserve"> talebi yeni rekor olarak kayıtlara geçmiştir. </w:t>
      </w:r>
      <w:r w:rsidR="00DE21E9">
        <w:rPr>
          <w:rFonts w:ascii="Verdana" w:eastAsia="Times New Roman" w:hAnsi="Verdana" w:cs="Times New Roman"/>
          <w:sz w:val="18"/>
          <w:szCs w:val="18"/>
        </w:rPr>
        <w:t>Geçen yılın</w:t>
      </w:r>
      <w:r w:rsidR="00FE08C2">
        <w:rPr>
          <w:rFonts w:ascii="Verdana" w:eastAsia="Times New Roman" w:hAnsi="Verdana" w:cs="Times New Roman"/>
          <w:sz w:val="18"/>
          <w:szCs w:val="18"/>
        </w:rPr>
        <w:t xml:space="preserve"> ilk yarısında Kültür yayıncılığında yaşadığımız hızlı büyüme Haziran ayı sonrasında oluşan ekonomik dalgalanmalar sebebiyle hızını kaybetmiş ve yılın ikinci yarısında düşüş eğilimi göstermiştir. Buna karşılık Eğitim yayıncılığında ise Ağustos ayından itibaren başlayan pozitif ivmelenme yıl sonuna kadar devam etmiş ve 2018 yılında </w:t>
      </w:r>
      <w:proofErr w:type="gramStart"/>
      <w:r w:rsidR="00FE08C2">
        <w:rPr>
          <w:rFonts w:ascii="Verdana" w:eastAsia="Times New Roman" w:hAnsi="Verdana" w:cs="Times New Roman"/>
          <w:sz w:val="18"/>
          <w:szCs w:val="18"/>
        </w:rPr>
        <w:t>bandrol</w:t>
      </w:r>
      <w:proofErr w:type="gramEnd"/>
      <w:r w:rsidR="00FE08C2">
        <w:rPr>
          <w:rFonts w:ascii="Verdana" w:eastAsia="Times New Roman" w:hAnsi="Verdana" w:cs="Times New Roman"/>
          <w:sz w:val="18"/>
          <w:szCs w:val="18"/>
        </w:rPr>
        <w:t xml:space="preserve"> talebinde yeni bir zirve noktasına ulaşılmasında önemli katkı sağlamıştır ve 2017 yılında yayın pastasındaki %51,4 olan oranını bir p</w:t>
      </w:r>
      <w:r w:rsidR="00345C02">
        <w:rPr>
          <w:rFonts w:ascii="Verdana" w:eastAsia="Times New Roman" w:hAnsi="Verdana" w:cs="Times New Roman"/>
          <w:sz w:val="18"/>
          <w:szCs w:val="18"/>
        </w:rPr>
        <w:t>u</w:t>
      </w:r>
      <w:r w:rsidR="00FE08C2">
        <w:rPr>
          <w:rFonts w:ascii="Verdana" w:eastAsia="Times New Roman" w:hAnsi="Verdana" w:cs="Times New Roman"/>
          <w:sz w:val="18"/>
          <w:szCs w:val="18"/>
        </w:rPr>
        <w:t>an yükselterek %52,4 oranına ulaşmıştır.</w:t>
      </w:r>
    </w:p>
    <w:p w:rsidR="00345C02" w:rsidRDefault="006A77BC" w:rsidP="00E45076">
      <w:pPr>
        <w:jc w:val="both"/>
        <w:rPr>
          <w:rFonts w:ascii="Verdana" w:eastAsia="Times New Roman" w:hAnsi="Verdana" w:cs="Times New Roman"/>
          <w:sz w:val="18"/>
          <w:szCs w:val="18"/>
        </w:rPr>
      </w:pPr>
      <w:r>
        <w:rPr>
          <w:rFonts w:ascii="Verdana" w:eastAsia="Times New Roman" w:hAnsi="Verdana" w:cs="Times New Roman"/>
          <w:sz w:val="18"/>
          <w:szCs w:val="18"/>
        </w:rPr>
        <w:t>2018</w:t>
      </w:r>
      <w:r w:rsidR="001758D4">
        <w:rPr>
          <w:rFonts w:ascii="Verdana" w:eastAsia="Times New Roman" w:hAnsi="Verdana" w:cs="Times New Roman"/>
          <w:sz w:val="18"/>
          <w:szCs w:val="18"/>
        </w:rPr>
        <w:t xml:space="preserve"> yılında </w:t>
      </w:r>
      <w:r w:rsidR="00345C02">
        <w:rPr>
          <w:rFonts w:ascii="Verdana" w:eastAsia="Times New Roman" w:hAnsi="Verdana" w:cs="Times New Roman"/>
          <w:sz w:val="18"/>
          <w:szCs w:val="18"/>
        </w:rPr>
        <w:t>üretilen</w:t>
      </w:r>
      <w:r>
        <w:rPr>
          <w:rFonts w:ascii="Verdana" w:eastAsia="Times New Roman" w:hAnsi="Verdana" w:cs="Times New Roman"/>
          <w:sz w:val="18"/>
          <w:szCs w:val="18"/>
        </w:rPr>
        <w:t xml:space="preserve"> </w:t>
      </w:r>
      <w:proofErr w:type="gramStart"/>
      <w:r>
        <w:rPr>
          <w:rFonts w:ascii="Verdana" w:eastAsia="Times New Roman" w:hAnsi="Verdana" w:cs="Times New Roman"/>
          <w:sz w:val="18"/>
          <w:szCs w:val="18"/>
        </w:rPr>
        <w:t>bandrol</w:t>
      </w:r>
      <w:proofErr w:type="gramEnd"/>
      <w:r>
        <w:rPr>
          <w:rFonts w:ascii="Verdana" w:eastAsia="Times New Roman" w:hAnsi="Verdana" w:cs="Times New Roman"/>
          <w:sz w:val="18"/>
          <w:szCs w:val="18"/>
        </w:rPr>
        <w:t xml:space="preserve"> kapsamındaki</w:t>
      </w:r>
      <w:r w:rsidR="00DE21E9">
        <w:rPr>
          <w:rFonts w:ascii="Verdana" w:eastAsia="Times New Roman" w:hAnsi="Verdana" w:cs="Times New Roman"/>
          <w:sz w:val="18"/>
          <w:szCs w:val="18"/>
        </w:rPr>
        <w:t xml:space="preserve"> </w:t>
      </w:r>
      <w:r w:rsidR="00345C02">
        <w:rPr>
          <w:rFonts w:ascii="Verdana" w:eastAsia="Times New Roman" w:hAnsi="Verdana" w:cs="Times New Roman"/>
          <w:sz w:val="18"/>
          <w:szCs w:val="18"/>
        </w:rPr>
        <w:t>toplam kitap</w:t>
      </w:r>
      <w:r w:rsidR="001758D4">
        <w:rPr>
          <w:rFonts w:ascii="Verdana" w:eastAsia="Times New Roman" w:hAnsi="Verdana" w:cs="Times New Roman"/>
          <w:sz w:val="18"/>
          <w:szCs w:val="18"/>
        </w:rPr>
        <w:t xml:space="preserve"> </w:t>
      </w:r>
      <w:r w:rsidR="00497D8E">
        <w:rPr>
          <w:rFonts w:ascii="Verdana" w:eastAsia="Times New Roman" w:hAnsi="Verdana" w:cs="Times New Roman"/>
          <w:sz w:val="18"/>
          <w:szCs w:val="18"/>
        </w:rPr>
        <w:t xml:space="preserve">âdeti </w:t>
      </w:r>
      <w:r w:rsidR="00345C02" w:rsidRPr="00345C02">
        <w:rPr>
          <w:rFonts w:ascii="Verdana" w:eastAsia="Times New Roman" w:hAnsi="Verdana" w:cs="Times New Roman"/>
          <w:b/>
          <w:sz w:val="18"/>
          <w:szCs w:val="18"/>
        </w:rPr>
        <w:t>410.641.305</w:t>
      </w:r>
      <w:r w:rsidR="00345C02">
        <w:rPr>
          <w:rFonts w:ascii="Verdana" w:eastAsia="Times New Roman" w:hAnsi="Verdana" w:cs="Times New Roman"/>
          <w:b/>
          <w:sz w:val="18"/>
          <w:szCs w:val="18"/>
        </w:rPr>
        <w:t xml:space="preserve"> </w:t>
      </w:r>
      <w:r w:rsidR="00497D8E">
        <w:rPr>
          <w:rFonts w:ascii="Verdana" w:eastAsia="Times New Roman" w:hAnsi="Verdana" w:cs="Times New Roman"/>
          <w:sz w:val="18"/>
          <w:szCs w:val="18"/>
        </w:rPr>
        <w:t>a</w:t>
      </w:r>
      <w:r w:rsidR="00345C02">
        <w:rPr>
          <w:rFonts w:ascii="Verdana" w:eastAsia="Times New Roman" w:hAnsi="Verdana" w:cs="Times New Roman"/>
          <w:sz w:val="18"/>
          <w:szCs w:val="18"/>
        </w:rPr>
        <w:t>det olarak gerçekleşmiştir. 2017</w:t>
      </w:r>
      <w:r w:rsidR="00497D8E">
        <w:rPr>
          <w:rFonts w:ascii="Verdana" w:eastAsia="Times New Roman" w:hAnsi="Verdana" w:cs="Times New Roman"/>
          <w:sz w:val="18"/>
          <w:szCs w:val="18"/>
        </w:rPr>
        <w:t xml:space="preserve"> yılı toplamı ise </w:t>
      </w:r>
      <w:r w:rsidR="00345C02" w:rsidRPr="00345C02">
        <w:rPr>
          <w:rFonts w:ascii="Verdana" w:eastAsia="Times New Roman" w:hAnsi="Verdana" w:cs="Times New Roman"/>
          <w:b/>
          <w:sz w:val="18"/>
          <w:szCs w:val="18"/>
        </w:rPr>
        <w:t>407.739.008</w:t>
      </w:r>
      <w:r w:rsidR="00345C02">
        <w:rPr>
          <w:rFonts w:ascii="Verdana" w:eastAsia="Times New Roman" w:hAnsi="Verdana" w:cs="Times New Roman"/>
          <w:b/>
          <w:sz w:val="18"/>
          <w:szCs w:val="18"/>
        </w:rPr>
        <w:t xml:space="preserve"> </w:t>
      </w:r>
      <w:r w:rsidR="00345C02">
        <w:rPr>
          <w:rFonts w:ascii="Verdana" w:eastAsia="Times New Roman" w:hAnsi="Verdana" w:cs="Times New Roman"/>
          <w:sz w:val="18"/>
          <w:szCs w:val="18"/>
        </w:rPr>
        <w:t>adet olarak gerçekleşmişti</w:t>
      </w:r>
      <w:r w:rsidR="00497D8E">
        <w:rPr>
          <w:rFonts w:ascii="Verdana" w:eastAsia="Times New Roman" w:hAnsi="Verdana" w:cs="Times New Roman"/>
          <w:sz w:val="18"/>
          <w:szCs w:val="18"/>
        </w:rPr>
        <w:t xml:space="preserve">. Bu </w:t>
      </w:r>
      <w:r w:rsidR="00345C02">
        <w:rPr>
          <w:rFonts w:ascii="Verdana" w:eastAsia="Times New Roman" w:hAnsi="Verdana" w:cs="Times New Roman"/>
          <w:sz w:val="18"/>
          <w:szCs w:val="18"/>
        </w:rPr>
        <w:t>da bir</w:t>
      </w:r>
      <w:r w:rsidR="00497D8E">
        <w:rPr>
          <w:rFonts w:ascii="Verdana" w:eastAsia="Times New Roman" w:hAnsi="Verdana" w:cs="Times New Roman"/>
          <w:sz w:val="18"/>
          <w:szCs w:val="18"/>
        </w:rPr>
        <w:t xml:space="preserve"> önceki yıla göre</w:t>
      </w:r>
      <w:r w:rsidR="00DE21E9">
        <w:rPr>
          <w:rFonts w:ascii="Verdana" w:eastAsia="Times New Roman" w:hAnsi="Verdana" w:cs="Times New Roman"/>
          <w:sz w:val="18"/>
          <w:szCs w:val="18"/>
        </w:rPr>
        <w:t xml:space="preserve"> yaklaşık</w:t>
      </w:r>
      <w:r w:rsidR="00497D8E">
        <w:rPr>
          <w:rFonts w:ascii="Verdana" w:eastAsia="Times New Roman" w:hAnsi="Verdana" w:cs="Times New Roman"/>
          <w:sz w:val="18"/>
          <w:szCs w:val="18"/>
        </w:rPr>
        <w:t xml:space="preserve"> </w:t>
      </w:r>
      <w:r w:rsidR="00DE21E9">
        <w:rPr>
          <w:rFonts w:ascii="Verdana" w:eastAsia="Times New Roman" w:hAnsi="Verdana" w:cs="Times New Roman"/>
          <w:b/>
          <w:sz w:val="18"/>
          <w:szCs w:val="18"/>
        </w:rPr>
        <w:t>%1</w:t>
      </w:r>
      <w:r w:rsidR="001758D4">
        <w:rPr>
          <w:rFonts w:ascii="Verdana" w:eastAsia="Times New Roman" w:hAnsi="Verdana" w:cs="Times New Roman"/>
          <w:sz w:val="18"/>
          <w:szCs w:val="18"/>
        </w:rPr>
        <w:t xml:space="preserve"> </w:t>
      </w:r>
      <w:r w:rsidR="00345C02">
        <w:rPr>
          <w:rFonts w:ascii="Verdana" w:eastAsia="Times New Roman" w:hAnsi="Verdana" w:cs="Times New Roman"/>
          <w:sz w:val="18"/>
          <w:szCs w:val="18"/>
        </w:rPr>
        <w:t>oranında</w:t>
      </w:r>
      <w:r w:rsidR="00DE21E9">
        <w:rPr>
          <w:rFonts w:ascii="Verdana" w:eastAsia="Times New Roman" w:hAnsi="Verdana" w:cs="Times New Roman"/>
          <w:sz w:val="18"/>
          <w:szCs w:val="18"/>
        </w:rPr>
        <w:t xml:space="preserve"> büyümeye karşılık gelmektedir. </w:t>
      </w:r>
      <w:r w:rsidR="00345C02">
        <w:rPr>
          <w:rFonts w:ascii="Verdana" w:eastAsia="Times New Roman" w:hAnsi="Verdana" w:cs="Times New Roman"/>
          <w:sz w:val="18"/>
          <w:szCs w:val="18"/>
        </w:rPr>
        <w:t xml:space="preserve">Haziran ayı seçimleri ve arkasından yaşanan ekonomik </w:t>
      </w:r>
      <w:proofErr w:type="gramStart"/>
      <w:r w:rsidR="00345C02">
        <w:rPr>
          <w:rFonts w:ascii="Verdana" w:eastAsia="Times New Roman" w:hAnsi="Verdana" w:cs="Times New Roman"/>
          <w:sz w:val="18"/>
          <w:szCs w:val="18"/>
        </w:rPr>
        <w:t>konjonktür</w:t>
      </w:r>
      <w:proofErr w:type="gramEnd"/>
      <w:r w:rsidR="00345C02">
        <w:rPr>
          <w:rFonts w:ascii="Verdana" w:eastAsia="Times New Roman" w:hAnsi="Verdana" w:cs="Times New Roman"/>
          <w:sz w:val="18"/>
          <w:szCs w:val="18"/>
        </w:rPr>
        <w:t xml:space="preserve"> sektörün büyümesini sınırlamıştır. Bu süreçte yaşanan bütün olumsuzluklara rağmen sektörün bir önceki yıla göre üretilen kitap </w:t>
      </w:r>
      <w:proofErr w:type="gramStart"/>
      <w:r w:rsidR="00345C02">
        <w:rPr>
          <w:rFonts w:ascii="Verdana" w:eastAsia="Times New Roman" w:hAnsi="Verdana" w:cs="Times New Roman"/>
          <w:sz w:val="18"/>
          <w:szCs w:val="18"/>
        </w:rPr>
        <w:t>adetinde</w:t>
      </w:r>
      <w:proofErr w:type="gramEnd"/>
      <w:r w:rsidR="00345C02">
        <w:rPr>
          <w:rFonts w:ascii="Verdana" w:eastAsia="Times New Roman" w:hAnsi="Verdana" w:cs="Times New Roman"/>
          <w:sz w:val="18"/>
          <w:szCs w:val="18"/>
        </w:rPr>
        <w:t xml:space="preserve"> büyüme</w:t>
      </w:r>
      <w:r>
        <w:rPr>
          <w:rFonts w:ascii="Verdana" w:eastAsia="Times New Roman" w:hAnsi="Verdana" w:cs="Times New Roman"/>
          <w:sz w:val="18"/>
          <w:szCs w:val="18"/>
        </w:rPr>
        <w:t xml:space="preserve"> göstermiş olması gerçekten takd</w:t>
      </w:r>
      <w:r w:rsidR="00345C02">
        <w:rPr>
          <w:rFonts w:ascii="Verdana" w:eastAsia="Times New Roman" w:hAnsi="Verdana" w:cs="Times New Roman"/>
          <w:sz w:val="18"/>
          <w:szCs w:val="18"/>
        </w:rPr>
        <w:t xml:space="preserve">ir edilmesi gereken önemli bir başarıdır.   </w:t>
      </w:r>
    </w:p>
    <w:p w:rsidR="00DE21E9" w:rsidRDefault="00DE21E9" w:rsidP="00E45076">
      <w:pPr>
        <w:jc w:val="both"/>
        <w:rPr>
          <w:rFonts w:ascii="Verdana" w:eastAsia="Times New Roman" w:hAnsi="Verdana" w:cs="Times New Roman"/>
          <w:sz w:val="18"/>
          <w:szCs w:val="18"/>
        </w:rPr>
      </w:pPr>
      <w:r>
        <w:rPr>
          <w:rFonts w:ascii="Verdana" w:eastAsia="Times New Roman" w:hAnsi="Verdana" w:cs="Times New Roman"/>
          <w:sz w:val="18"/>
          <w:szCs w:val="18"/>
        </w:rPr>
        <w:t xml:space="preserve">Yayımcı Meslek birlikleri Federasyonu olarak İstanbul Merkez ve Ankara şubelerimizde bu yıl dört binin üzerinde bireysel ve </w:t>
      </w:r>
      <w:r w:rsidR="00F52D4E">
        <w:rPr>
          <w:rFonts w:ascii="Verdana" w:eastAsia="Times New Roman" w:hAnsi="Verdana" w:cs="Times New Roman"/>
          <w:sz w:val="18"/>
          <w:szCs w:val="18"/>
        </w:rPr>
        <w:t>kurumsal farklı</w:t>
      </w:r>
      <w:r>
        <w:rPr>
          <w:rFonts w:ascii="Verdana" w:eastAsia="Times New Roman" w:hAnsi="Verdana" w:cs="Times New Roman"/>
          <w:sz w:val="18"/>
          <w:szCs w:val="18"/>
        </w:rPr>
        <w:t xml:space="preserve"> yayıncıya hizmet verdik.</w:t>
      </w:r>
      <w:r w:rsidR="004D29BD">
        <w:rPr>
          <w:rFonts w:ascii="Verdana" w:eastAsia="Times New Roman" w:hAnsi="Verdana" w:cs="Times New Roman"/>
          <w:sz w:val="18"/>
          <w:szCs w:val="18"/>
        </w:rPr>
        <w:t xml:space="preserve"> 2018</w:t>
      </w:r>
      <w:r w:rsidR="00F52D4E">
        <w:rPr>
          <w:rFonts w:ascii="Verdana" w:eastAsia="Times New Roman" w:hAnsi="Verdana" w:cs="Times New Roman"/>
          <w:sz w:val="18"/>
          <w:szCs w:val="18"/>
        </w:rPr>
        <w:t xml:space="preserve"> yılında, </w:t>
      </w:r>
      <w:r w:rsidR="006A77BC">
        <w:rPr>
          <w:rFonts w:ascii="Verdana" w:eastAsia="Times New Roman" w:hAnsi="Verdana" w:cs="Times New Roman"/>
          <w:b/>
          <w:sz w:val="18"/>
          <w:szCs w:val="18"/>
        </w:rPr>
        <w:t>23.878</w:t>
      </w:r>
      <w:r w:rsidR="00F52D4E">
        <w:rPr>
          <w:rFonts w:ascii="Verdana" w:eastAsia="Times New Roman" w:hAnsi="Verdana" w:cs="Times New Roman"/>
          <w:sz w:val="18"/>
          <w:szCs w:val="18"/>
        </w:rPr>
        <w:t xml:space="preserve"> </w:t>
      </w:r>
      <w:proofErr w:type="gramStart"/>
      <w:r w:rsidR="00F52D4E">
        <w:rPr>
          <w:rFonts w:ascii="Verdana" w:eastAsia="Times New Roman" w:hAnsi="Verdana" w:cs="Times New Roman"/>
          <w:sz w:val="18"/>
          <w:szCs w:val="18"/>
        </w:rPr>
        <w:t>adet  talep</w:t>
      </w:r>
      <w:proofErr w:type="gramEnd"/>
      <w:r w:rsidR="00F52D4E">
        <w:rPr>
          <w:rFonts w:ascii="Verdana" w:eastAsia="Times New Roman" w:hAnsi="Verdana" w:cs="Times New Roman"/>
          <w:sz w:val="18"/>
          <w:szCs w:val="18"/>
        </w:rPr>
        <w:t xml:space="preserve"> federasyonumuzca sonuçlandırılmıştır. Bu taleplerin </w:t>
      </w:r>
      <w:r w:rsidR="006A77BC">
        <w:rPr>
          <w:rFonts w:ascii="Verdana" w:eastAsia="Times New Roman" w:hAnsi="Verdana" w:cs="Times New Roman"/>
          <w:b/>
          <w:sz w:val="18"/>
          <w:szCs w:val="18"/>
        </w:rPr>
        <w:t>12.118</w:t>
      </w:r>
      <w:r w:rsidR="00F52D4E">
        <w:rPr>
          <w:rFonts w:ascii="Verdana" w:eastAsia="Times New Roman" w:hAnsi="Verdana" w:cs="Times New Roman"/>
          <w:sz w:val="18"/>
          <w:szCs w:val="18"/>
        </w:rPr>
        <w:t xml:space="preserve"> </w:t>
      </w:r>
      <w:proofErr w:type="gramStart"/>
      <w:r w:rsidR="00F52D4E">
        <w:rPr>
          <w:rFonts w:ascii="Verdana" w:eastAsia="Times New Roman" w:hAnsi="Verdana" w:cs="Times New Roman"/>
          <w:sz w:val="18"/>
          <w:szCs w:val="18"/>
        </w:rPr>
        <w:t>adeti</w:t>
      </w:r>
      <w:proofErr w:type="gramEnd"/>
      <w:r w:rsidR="00F52D4E">
        <w:rPr>
          <w:rFonts w:ascii="Verdana" w:eastAsia="Times New Roman" w:hAnsi="Verdana" w:cs="Times New Roman"/>
          <w:sz w:val="18"/>
          <w:szCs w:val="18"/>
        </w:rPr>
        <w:t xml:space="preserve"> doğrudan ve </w:t>
      </w:r>
      <w:r w:rsidR="006A77BC">
        <w:rPr>
          <w:rFonts w:ascii="Verdana" w:eastAsia="Times New Roman" w:hAnsi="Verdana" w:cs="Times New Roman"/>
          <w:b/>
          <w:sz w:val="18"/>
          <w:szCs w:val="18"/>
        </w:rPr>
        <w:t>1.288</w:t>
      </w:r>
      <w:r w:rsidR="00F52D4E">
        <w:rPr>
          <w:rFonts w:ascii="Verdana" w:eastAsia="Times New Roman" w:hAnsi="Verdana" w:cs="Times New Roman"/>
          <w:sz w:val="18"/>
          <w:szCs w:val="18"/>
        </w:rPr>
        <w:t xml:space="preserve"> adeti kargo yoluyla olmak üzere toplam </w:t>
      </w:r>
      <w:r w:rsidR="006A77BC">
        <w:rPr>
          <w:rFonts w:ascii="Verdana" w:eastAsia="Times New Roman" w:hAnsi="Verdana" w:cs="Times New Roman"/>
          <w:b/>
          <w:sz w:val="18"/>
          <w:szCs w:val="18"/>
        </w:rPr>
        <w:t>13.406</w:t>
      </w:r>
      <w:r w:rsidR="00F52D4E">
        <w:rPr>
          <w:rFonts w:ascii="Verdana" w:eastAsia="Times New Roman" w:hAnsi="Verdana" w:cs="Times New Roman"/>
          <w:sz w:val="18"/>
          <w:szCs w:val="18"/>
        </w:rPr>
        <w:t xml:space="preserve"> adet talep İstanbul şubemiz tarafından, </w:t>
      </w:r>
      <w:r w:rsidR="006A77BC">
        <w:rPr>
          <w:rFonts w:ascii="Verdana" w:eastAsia="Times New Roman" w:hAnsi="Verdana" w:cs="Times New Roman"/>
          <w:b/>
          <w:sz w:val="18"/>
          <w:szCs w:val="18"/>
        </w:rPr>
        <w:t>7.658</w:t>
      </w:r>
      <w:r w:rsidR="00F52D4E">
        <w:rPr>
          <w:rFonts w:ascii="Verdana" w:eastAsia="Times New Roman" w:hAnsi="Verdana" w:cs="Times New Roman"/>
          <w:sz w:val="18"/>
          <w:szCs w:val="18"/>
        </w:rPr>
        <w:t xml:space="preserve"> adet talep doğrudan ve </w:t>
      </w:r>
      <w:r w:rsidR="004D29BD">
        <w:rPr>
          <w:rFonts w:ascii="Verdana" w:eastAsia="Times New Roman" w:hAnsi="Verdana" w:cs="Times New Roman"/>
          <w:b/>
          <w:sz w:val="18"/>
          <w:szCs w:val="18"/>
        </w:rPr>
        <w:t>2.814</w:t>
      </w:r>
      <w:r w:rsidR="00F52D4E">
        <w:rPr>
          <w:rFonts w:ascii="Verdana" w:eastAsia="Times New Roman" w:hAnsi="Verdana" w:cs="Times New Roman"/>
          <w:sz w:val="18"/>
          <w:szCs w:val="18"/>
        </w:rPr>
        <w:t xml:space="preserve"> adet talep kargo yoluyla olmak üzere toplam </w:t>
      </w:r>
      <w:r w:rsidR="006A77BC">
        <w:rPr>
          <w:rFonts w:ascii="Verdana" w:eastAsia="Times New Roman" w:hAnsi="Verdana" w:cs="Times New Roman"/>
          <w:b/>
          <w:sz w:val="18"/>
          <w:szCs w:val="18"/>
        </w:rPr>
        <w:t>10.472</w:t>
      </w:r>
      <w:r w:rsidR="00F52D4E">
        <w:rPr>
          <w:rFonts w:ascii="Verdana" w:eastAsia="Times New Roman" w:hAnsi="Verdana" w:cs="Times New Roman"/>
          <w:sz w:val="18"/>
          <w:szCs w:val="18"/>
        </w:rPr>
        <w:t xml:space="preserve"> talep Ankara ofisimiz</w:t>
      </w:r>
      <w:r w:rsidR="00376D47">
        <w:rPr>
          <w:rFonts w:ascii="Verdana" w:eastAsia="Times New Roman" w:hAnsi="Verdana" w:cs="Times New Roman"/>
          <w:sz w:val="18"/>
          <w:szCs w:val="18"/>
        </w:rPr>
        <w:t xml:space="preserve"> tarafından sonuçlandırılmıştır.</w:t>
      </w:r>
    </w:p>
    <w:p w:rsidR="00376D47" w:rsidRDefault="000C011E" w:rsidP="00E45076">
      <w:pPr>
        <w:jc w:val="both"/>
        <w:rPr>
          <w:rFonts w:ascii="Verdana" w:eastAsia="Times New Roman" w:hAnsi="Verdana" w:cs="Times New Roman"/>
          <w:sz w:val="18"/>
          <w:szCs w:val="18"/>
        </w:rPr>
      </w:pPr>
      <w:r>
        <w:rPr>
          <w:noProof/>
          <w:lang w:eastAsia="tr-TR"/>
        </w:rPr>
        <w:drawing>
          <wp:inline distT="0" distB="0" distL="0" distR="0" wp14:anchorId="6693295A" wp14:editId="25C7A018">
            <wp:extent cx="5760720" cy="3521939"/>
            <wp:effectExtent l="57150" t="57150" r="49530" b="4064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376D47" w:rsidRDefault="00376D47" w:rsidP="00625B69">
      <w:pPr>
        <w:jc w:val="both"/>
        <w:rPr>
          <w:noProof/>
          <w:lang w:eastAsia="tr-TR"/>
        </w:rPr>
      </w:pPr>
    </w:p>
    <w:p w:rsidR="00376D47" w:rsidRDefault="00376D47" w:rsidP="00625B69">
      <w:pPr>
        <w:jc w:val="both"/>
        <w:rPr>
          <w:noProof/>
          <w:lang w:eastAsia="tr-TR"/>
        </w:rPr>
      </w:pPr>
    </w:p>
    <w:p w:rsidR="00383770" w:rsidRDefault="00C90D88" w:rsidP="00625B69">
      <w:pPr>
        <w:jc w:val="both"/>
        <w:rPr>
          <w:rFonts w:ascii="Verdana" w:eastAsia="Times New Roman" w:hAnsi="Verdana" w:cs="Times New Roman"/>
          <w:sz w:val="18"/>
          <w:szCs w:val="18"/>
        </w:rPr>
      </w:pPr>
      <w:r>
        <w:rPr>
          <w:rFonts w:ascii="Verdana" w:eastAsia="Times New Roman" w:hAnsi="Verdana" w:cs="Times New Roman"/>
          <w:sz w:val="18"/>
          <w:szCs w:val="18"/>
        </w:rPr>
        <w:t xml:space="preserve"> </w:t>
      </w:r>
    </w:p>
    <w:p w:rsidR="00DA5D27" w:rsidRDefault="00DA5D27" w:rsidP="00D62706">
      <w:pPr>
        <w:jc w:val="both"/>
        <w:rPr>
          <w:rFonts w:ascii="Verdana" w:eastAsia="Times New Roman" w:hAnsi="Verdana" w:cs="Times New Roman"/>
          <w:sz w:val="18"/>
          <w:szCs w:val="18"/>
        </w:rPr>
      </w:pPr>
      <w:bookmarkStart w:id="0" w:name="_GoBack"/>
      <w:bookmarkEnd w:id="0"/>
    </w:p>
    <w:p w:rsidR="00E26581" w:rsidRDefault="0076750F" w:rsidP="00E26581">
      <w:pPr>
        <w:jc w:val="both"/>
        <w:rPr>
          <w:rFonts w:ascii="Arial" w:eastAsia="Times New Roman" w:hAnsi="Arial" w:cs="Arial"/>
          <w:color w:val="891C02"/>
          <w:kern w:val="36"/>
          <w:sz w:val="28"/>
          <w:szCs w:val="33"/>
        </w:rPr>
      </w:pPr>
      <w:r>
        <w:rPr>
          <w:rFonts w:ascii="Arial" w:eastAsia="Times New Roman" w:hAnsi="Arial" w:cs="Arial"/>
          <w:color w:val="891C02"/>
          <w:kern w:val="36"/>
          <w:sz w:val="28"/>
          <w:szCs w:val="33"/>
        </w:rPr>
        <w:t>2018</w:t>
      </w:r>
      <w:r w:rsidR="00D62706">
        <w:rPr>
          <w:rFonts w:ascii="Arial" w:eastAsia="Times New Roman" w:hAnsi="Arial" w:cs="Arial"/>
          <w:color w:val="891C02"/>
          <w:kern w:val="36"/>
          <w:sz w:val="28"/>
          <w:szCs w:val="33"/>
        </w:rPr>
        <w:t xml:space="preserve"> Yılı Kategori Dağılımı</w:t>
      </w:r>
    </w:p>
    <w:p w:rsidR="00D62706" w:rsidRDefault="0076750F" w:rsidP="00E26581">
      <w:pPr>
        <w:jc w:val="both"/>
        <w:rPr>
          <w:rFonts w:ascii="Verdana" w:eastAsia="Times New Roman" w:hAnsi="Verdana" w:cs="Times New Roman"/>
          <w:sz w:val="18"/>
          <w:szCs w:val="18"/>
        </w:rPr>
      </w:pPr>
      <w:r>
        <w:rPr>
          <w:rFonts w:ascii="Verdana" w:eastAsia="Times New Roman" w:hAnsi="Verdana" w:cs="Times New Roman"/>
          <w:sz w:val="18"/>
          <w:szCs w:val="18"/>
        </w:rPr>
        <w:t xml:space="preserve">2018 </w:t>
      </w:r>
      <w:r w:rsidR="00D62706">
        <w:rPr>
          <w:rFonts w:ascii="Verdana" w:eastAsia="Times New Roman" w:hAnsi="Verdana" w:cs="Times New Roman"/>
          <w:sz w:val="18"/>
          <w:szCs w:val="18"/>
        </w:rPr>
        <w:t>yılında ya</w:t>
      </w:r>
      <w:r w:rsidR="00432021">
        <w:rPr>
          <w:rFonts w:ascii="Verdana" w:eastAsia="Times New Roman" w:hAnsi="Verdana" w:cs="Times New Roman"/>
          <w:sz w:val="18"/>
          <w:szCs w:val="18"/>
        </w:rPr>
        <w:t xml:space="preserve">yımlanan kitapların </w:t>
      </w:r>
      <w:r>
        <w:rPr>
          <w:rFonts w:ascii="Verdana" w:eastAsia="Times New Roman" w:hAnsi="Verdana" w:cs="Times New Roman"/>
          <w:sz w:val="18"/>
          <w:szCs w:val="18"/>
        </w:rPr>
        <w:t>%18'ini</w:t>
      </w:r>
      <w:r w:rsidR="00D62706">
        <w:rPr>
          <w:rFonts w:ascii="Verdana" w:eastAsia="Times New Roman" w:hAnsi="Verdana" w:cs="Times New Roman"/>
          <w:sz w:val="18"/>
          <w:szCs w:val="18"/>
        </w:rPr>
        <w:t xml:space="preserve"> yetişkin a</w:t>
      </w:r>
      <w:r w:rsidR="00432021">
        <w:rPr>
          <w:rFonts w:ascii="Verdana" w:eastAsia="Times New Roman" w:hAnsi="Verdana" w:cs="Times New Roman"/>
          <w:sz w:val="18"/>
          <w:szCs w:val="18"/>
        </w:rPr>
        <w:t>ra</w:t>
      </w:r>
      <w:r>
        <w:rPr>
          <w:rFonts w:ascii="Verdana" w:eastAsia="Times New Roman" w:hAnsi="Verdana" w:cs="Times New Roman"/>
          <w:sz w:val="18"/>
          <w:szCs w:val="18"/>
        </w:rPr>
        <w:t>ştırma, inceleme kitapları, %6'sını</w:t>
      </w:r>
      <w:r w:rsidR="00D62706">
        <w:rPr>
          <w:rFonts w:ascii="Verdana" w:eastAsia="Times New Roman" w:hAnsi="Verdana" w:cs="Times New Roman"/>
          <w:sz w:val="18"/>
          <w:szCs w:val="18"/>
        </w:rPr>
        <w:t xml:space="preserve"> yetiş</w:t>
      </w:r>
      <w:r w:rsidR="00432021">
        <w:rPr>
          <w:rFonts w:ascii="Verdana" w:eastAsia="Times New Roman" w:hAnsi="Verdana" w:cs="Times New Roman"/>
          <w:sz w:val="18"/>
          <w:szCs w:val="18"/>
        </w:rPr>
        <w:t xml:space="preserve">kin edebiyat sanat </w:t>
      </w:r>
      <w:r>
        <w:rPr>
          <w:rFonts w:ascii="Verdana" w:eastAsia="Times New Roman" w:hAnsi="Verdana" w:cs="Times New Roman"/>
          <w:sz w:val="18"/>
          <w:szCs w:val="18"/>
        </w:rPr>
        <w:t>kitapları, %10'nu</w:t>
      </w:r>
      <w:r w:rsidR="00D62706">
        <w:rPr>
          <w:rFonts w:ascii="Verdana" w:eastAsia="Times New Roman" w:hAnsi="Verdana" w:cs="Times New Roman"/>
          <w:sz w:val="18"/>
          <w:szCs w:val="18"/>
        </w:rPr>
        <w:t xml:space="preserve"> çocuk ve gençlik kitapları, </w:t>
      </w:r>
      <w:r w:rsidR="003346A4">
        <w:rPr>
          <w:rFonts w:ascii="Verdana" w:eastAsia="Times New Roman" w:hAnsi="Verdana" w:cs="Times New Roman"/>
          <w:sz w:val="18"/>
          <w:szCs w:val="18"/>
        </w:rPr>
        <w:t>%10,8'ini</w:t>
      </w:r>
      <w:r w:rsidR="00D62706">
        <w:rPr>
          <w:rFonts w:ascii="Verdana" w:eastAsia="Times New Roman" w:hAnsi="Verdana" w:cs="Times New Roman"/>
          <w:sz w:val="18"/>
          <w:szCs w:val="18"/>
        </w:rPr>
        <w:t xml:space="preserve"> inanç kitapları, %1</w:t>
      </w:r>
      <w:r w:rsidR="003346A4">
        <w:rPr>
          <w:rFonts w:ascii="Verdana" w:eastAsia="Times New Roman" w:hAnsi="Verdana" w:cs="Times New Roman"/>
          <w:sz w:val="18"/>
          <w:szCs w:val="18"/>
        </w:rPr>
        <w:t>’</w:t>
      </w:r>
      <w:r w:rsidR="00D62706">
        <w:rPr>
          <w:rFonts w:ascii="Verdana" w:eastAsia="Times New Roman" w:hAnsi="Verdana" w:cs="Times New Roman"/>
          <w:sz w:val="18"/>
          <w:szCs w:val="18"/>
        </w:rPr>
        <w:t>ini akademik yayınlar, %1</w:t>
      </w:r>
      <w:r w:rsidR="003346A4">
        <w:rPr>
          <w:rFonts w:ascii="Verdana" w:eastAsia="Times New Roman" w:hAnsi="Verdana" w:cs="Times New Roman"/>
          <w:sz w:val="18"/>
          <w:szCs w:val="18"/>
        </w:rPr>
        <w:t>,4’ünü ithal kitaplar ve %52,</w:t>
      </w:r>
      <w:r w:rsidR="00E26581">
        <w:rPr>
          <w:rFonts w:ascii="Verdana" w:eastAsia="Times New Roman" w:hAnsi="Verdana" w:cs="Times New Roman"/>
          <w:sz w:val="18"/>
          <w:szCs w:val="18"/>
        </w:rPr>
        <w:t>4'ünü</w:t>
      </w:r>
      <w:r w:rsidR="00D62706">
        <w:rPr>
          <w:rFonts w:ascii="Verdana" w:eastAsia="Times New Roman" w:hAnsi="Verdana" w:cs="Times New Roman"/>
          <w:sz w:val="18"/>
          <w:szCs w:val="18"/>
        </w:rPr>
        <w:t xml:space="preserve"> eğitim alanındaki kitaplar oluşturdu.</w:t>
      </w:r>
      <w:r w:rsidR="00E26581">
        <w:rPr>
          <w:rFonts w:ascii="Verdana" w:eastAsia="Times New Roman" w:hAnsi="Verdana" w:cs="Times New Roman"/>
          <w:sz w:val="18"/>
          <w:szCs w:val="18"/>
        </w:rPr>
        <w:t xml:space="preserve"> Bir önceki yıl ile kıyasladığımızda</w:t>
      </w:r>
      <w:r w:rsidR="003346A4">
        <w:rPr>
          <w:rFonts w:ascii="Verdana" w:eastAsia="Times New Roman" w:hAnsi="Verdana" w:cs="Times New Roman"/>
          <w:sz w:val="18"/>
          <w:szCs w:val="18"/>
        </w:rPr>
        <w:t xml:space="preserve"> orantısal olarak önemli bir değişim gözlenmemektedir.</w:t>
      </w:r>
    </w:p>
    <w:p w:rsidR="00E26581" w:rsidRDefault="00E26581" w:rsidP="00E26581">
      <w:pPr>
        <w:jc w:val="both"/>
        <w:rPr>
          <w:rFonts w:ascii="Verdana" w:eastAsia="Times New Roman" w:hAnsi="Verdana" w:cs="Times New Roman"/>
          <w:sz w:val="18"/>
          <w:szCs w:val="18"/>
        </w:rPr>
      </w:pPr>
    </w:p>
    <w:p w:rsidR="00E26581" w:rsidRDefault="00E26581" w:rsidP="00E26581">
      <w:pPr>
        <w:jc w:val="both"/>
        <w:rPr>
          <w:rFonts w:ascii="Verdana" w:eastAsia="Times New Roman" w:hAnsi="Verdana" w:cs="Times New Roman"/>
          <w:sz w:val="18"/>
          <w:szCs w:val="18"/>
        </w:rPr>
      </w:pPr>
    </w:p>
    <w:p w:rsidR="00E26581" w:rsidRDefault="00E26581" w:rsidP="00E26581">
      <w:pPr>
        <w:jc w:val="both"/>
        <w:rPr>
          <w:rFonts w:ascii="Verdana" w:eastAsia="Times New Roman" w:hAnsi="Verdana" w:cs="Times New Roman"/>
          <w:sz w:val="18"/>
          <w:szCs w:val="18"/>
        </w:rPr>
      </w:pPr>
    </w:p>
    <w:p w:rsidR="00E26581" w:rsidRDefault="00E26581" w:rsidP="00E26581">
      <w:pPr>
        <w:jc w:val="both"/>
        <w:rPr>
          <w:rFonts w:ascii="Verdana" w:eastAsia="Times New Roman" w:hAnsi="Verdana" w:cs="Times New Roman"/>
          <w:sz w:val="18"/>
          <w:szCs w:val="18"/>
        </w:rPr>
      </w:pPr>
    </w:p>
    <w:p w:rsidR="00E26581" w:rsidRDefault="00E26581" w:rsidP="00E26581">
      <w:pPr>
        <w:jc w:val="both"/>
        <w:rPr>
          <w:rFonts w:ascii="Verdana" w:eastAsia="Times New Roman" w:hAnsi="Verdana" w:cs="Times New Roman"/>
          <w:sz w:val="18"/>
          <w:szCs w:val="18"/>
        </w:rPr>
      </w:pPr>
    </w:p>
    <w:p w:rsidR="00E26581" w:rsidRDefault="00E26581" w:rsidP="00E26581">
      <w:pPr>
        <w:jc w:val="both"/>
        <w:rPr>
          <w:rFonts w:ascii="Verdana" w:eastAsia="Times New Roman" w:hAnsi="Verdana" w:cs="Times New Roman"/>
          <w:sz w:val="18"/>
          <w:szCs w:val="18"/>
        </w:rPr>
      </w:pPr>
    </w:p>
    <w:p w:rsidR="00E26581" w:rsidRDefault="00E26581" w:rsidP="00E26581">
      <w:pPr>
        <w:jc w:val="both"/>
        <w:rPr>
          <w:rFonts w:ascii="Verdana" w:eastAsia="Times New Roman" w:hAnsi="Verdana" w:cs="Times New Roman"/>
          <w:sz w:val="18"/>
          <w:szCs w:val="18"/>
        </w:rPr>
      </w:pPr>
    </w:p>
    <w:p w:rsidR="00E26581" w:rsidRPr="00E26581" w:rsidRDefault="00E26581" w:rsidP="00E26581">
      <w:pPr>
        <w:jc w:val="both"/>
        <w:rPr>
          <w:rFonts w:ascii="Arial" w:eastAsia="Times New Roman" w:hAnsi="Arial" w:cs="Arial"/>
          <w:color w:val="891C02"/>
          <w:kern w:val="36"/>
          <w:sz w:val="28"/>
          <w:szCs w:val="33"/>
        </w:rPr>
      </w:pPr>
    </w:p>
    <w:p w:rsidR="00D62706" w:rsidRDefault="00D62706" w:rsidP="00D62706">
      <w:pPr>
        <w:shd w:val="clear" w:color="auto" w:fill="FFFFFF"/>
        <w:spacing w:after="150" w:line="240" w:lineRule="auto"/>
        <w:jc w:val="both"/>
        <w:rPr>
          <w:rFonts w:ascii="Verdana" w:eastAsia="Times New Roman" w:hAnsi="Verdana" w:cs="Times New Roman"/>
          <w:sz w:val="18"/>
          <w:szCs w:val="18"/>
        </w:rPr>
      </w:pPr>
    </w:p>
    <w:tbl>
      <w:tblPr>
        <w:tblW w:w="0" w:type="auto"/>
        <w:tblInd w:w="534" w:type="dxa"/>
        <w:tblBorders>
          <w:top w:val="single" w:sz="6" w:space="0" w:color="DDDDDD"/>
          <w:left w:val="single" w:sz="6" w:space="0" w:color="DDDDDD"/>
          <w:bottom w:val="single" w:sz="6" w:space="0" w:color="DDDDDD"/>
          <w:right w:val="single" w:sz="6" w:space="0" w:color="DDDDDD"/>
        </w:tblBorders>
        <w:shd w:val="clear" w:color="auto" w:fill="FFFFFF"/>
        <w:tblLayout w:type="fixed"/>
        <w:tblLook w:val="04A0" w:firstRow="1" w:lastRow="0" w:firstColumn="1" w:lastColumn="0" w:noHBand="0" w:noVBand="1"/>
      </w:tblPr>
      <w:tblGrid>
        <w:gridCol w:w="4689"/>
        <w:gridCol w:w="3074"/>
      </w:tblGrid>
      <w:tr w:rsidR="00D62706" w:rsidTr="00705763">
        <w:trPr>
          <w:cantSplit/>
          <w:trHeight w:val="20"/>
        </w:trPr>
        <w:tc>
          <w:tcPr>
            <w:tcW w:w="4689" w:type="dxa"/>
            <w:tcBorders>
              <w:top w:val="double" w:sz="4" w:space="0" w:color="auto"/>
              <w:left w:val="double" w:sz="4" w:space="0" w:color="auto"/>
              <w:bottom w:val="double" w:sz="4" w:space="0" w:color="auto"/>
              <w:right w:val="double" w:sz="4" w:space="0" w:color="auto"/>
            </w:tcBorders>
            <w:shd w:val="clear" w:color="auto" w:fill="FFFFFF"/>
            <w:tcMar>
              <w:top w:w="120" w:type="dxa"/>
              <w:left w:w="120" w:type="dxa"/>
              <w:bottom w:w="120" w:type="dxa"/>
              <w:right w:w="120" w:type="dxa"/>
            </w:tcMar>
            <w:hideMark/>
          </w:tcPr>
          <w:p w:rsidR="00D62706" w:rsidRDefault="00D62706" w:rsidP="00705763">
            <w:pPr>
              <w:spacing w:after="0" w:line="240" w:lineRule="auto"/>
              <w:jc w:val="both"/>
              <w:rPr>
                <w:rFonts w:ascii="Arial" w:eastAsia="Times New Roman" w:hAnsi="Arial" w:cs="Arial"/>
                <w:b/>
                <w:bCs/>
                <w:sz w:val="18"/>
                <w:szCs w:val="18"/>
              </w:rPr>
            </w:pPr>
            <w:r>
              <w:rPr>
                <w:rFonts w:ascii="Arial" w:eastAsia="Times New Roman" w:hAnsi="Arial" w:cs="Arial"/>
                <w:b/>
                <w:bCs/>
                <w:sz w:val="18"/>
                <w:szCs w:val="18"/>
              </w:rPr>
              <w:t>Türler Toplamı</w:t>
            </w:r>
          </w:p>
        </w:tc>
        <w:tc>
          <w:tcPr>
            <w:tcW w:w="3074" w:type="dxa"/>
            <w:tcBorders>
              <w:top w:val="double" w:sz="4" w:space="0" w:color="auto"/>
              <w:left w:val="double" w:sz="4" w:space="0" w:color="auto"/>
              <w:bottom w:val="double" w:sz="4" w:space="0" w:color="auto"/>
              <w:right w:val="double" w:sz="4" w:space="0" w:color="auto"/>
            </w:tcBorders>
            <w:shd w:val="clear" w:color="auto" w:fill="FFFFFF"/>
            <w:tcMar>
              <w:top w:w="120" w:type="dxa"/>
              <w:left w:w="120" w:type="dxa"/>
              <w:bottom w:w="120" w:type="dxa"/>
              <w:right w:w="120" w:type="dxa"/>
            </w:tcMar>
            <w:hideMark/>
          </w:tcPr>
          <w:p w:rsidR="00D62706" w:rsidRDefault="003346A4" w:rsidP="00705763">
            <w:pPr>
              <w:spacing w:after="0" w:line="240" w:lineRule="auto"/>
              <w:jc w:val="both"/>
              <w:rPr>
                <w:rFonts w:ascii="Arial" w:eastAsia="Times New Roman" w:hAnsi="Arial" w:cs="Arial"/>
                <w:b/>
                <w:bCs/>
                <w:sz w:val="18"/>
                <w:szCs w:val="18"/>
              </w:rPr>
            </w:pPr>
            <w:r>
              <w:rPr>
                <w:rFonts w:ascii="Arial" w:eastAsia="Times New Roman" w:hAnsi="Arial" w:cs="Arial"/>
                <w:b/>
                <w:bCs/>
                <w:sz w:val="18"/>
                <w:szCs w:val="18"/>
              </w:rPr>
              <w:t>2018</w:t>
            </w:r>
            <w:r w:rsidR="00AF4086">
              <w:rPr>
                <w:rFonts w:ascii="Arial" w:eastAsia="Times New Roman" w:hAnsi="Arial" w:cs="Arial"/>
                <w:b/>
                <w:bCs/>
                <w:sz w:val="18"/>
                <w:szCs w:val="18"/>
              </w:rPr>
              <w:t xml:space="preserve"> Yılı</w:t>
            </w:r>
            <w:r w:rsidR="00D62706">
              <w:rPr>
                <w:rFonts w:ascii="Arial" w:eastAsia="Times New Roman" w:hAnsi="Arial" w:cs="Arial"/>
                <w:b/>
                <w:bCs/>
                <w:sz w:val="18"/>
                <w:szCs w:val="18"/>
              </w:rPr>
              <w:t xml:space="preserve"> Verileri</w:t>
            </w:r>
          </w:p>
        </w:tc>
      </w:tr>
      <w:tr w:rsidR="00D62706" w:rsidTr="00705763">
        <w:trPr>
          <w:cantSplit/>
          <w:trHeight w:val="20"/>
        </w:trPr>
        <w:tc>
          <w:tcPr>
            <w:tcW w:w="4689" w:type="dxa"/>
            <w:tcBorders>
              <w:top w:val="double" w:sz="4" w:space="0" w:color="auto"/>
              <w:left w:val="double" w:sz="4" w:space="0" w:color="auto"/>
              <w:bottom w:val="double" w:sz="4" w:space="0" w:color="auto"/>
              <w:right w:val="double" w:sz="4" w:space="0" w:color="auto"/>
            </w:tcBorders>
            <w:shd w:val="clear" w:color="auto" w:fill="FFFFFF"/>
            <w:tcMar>
              <w:top w:w="120" w:type="dxa"/>
              <w:left w:w="120" w:type="dxa"/>
              <w:bottom w:w="120" w:type="dxa"/>
              <w:right w:w="120" w:type="dxa"/>
            </w:tcMar>
            <w:hideMark/>
          </w:tcPr>
          <w:p w:rsidR="00D62706" w:rsidRDefault="00D62706" w:rsidP="00705763">
            <w:pPr>
              <w:spacing w:after="0" w:line="240" w:lineRule="auto"/>
              <w:jc w:val="both"/>
              <w:rPr>
                <w:rFonts w:ascii="Arial" w:eastAsia="Times New Roman" w:hAnsi="Arial" w:cs="Arial"/>
                <w:b/>
                <w:bCs/>
                <w:sz w:val="18"/>
                <w:szCs w:val="18"/>
              </w:rPr>
            </w:pPr>
            <w:r>
              <w:rPr>
                <w:rFonts w:ascii="Arial" w:eastAsia="Times New Roman" w:hAnsi="Arial" w:cs="Arial"/>
                <w:b/>
                <w:bCs/>
                <w:sz w:val="18"/>
                <w:szCs w:val="18"/>
              </w:rPr>
              <w:t>Yetişkin (Araştırma-İnceleme)</w:t>
            </w:r>
          </w:p>
        </w:tc>
        <w:tc>
          <w:tcPr>
            <w:tcW w:w="3074" w:type="dxa"/>
            <w:tcBorders>
              <w:top w:val="double" w:sz="4" w:space="0" w:color="auto"/>
              <w:left w:val="double" w:sz="4" w:space="0" w:color="auto"/>
              <w:bottom w:val="double" w:sz="4" w:space="0" w:color="auto"/>
              <w:right w:val="double" w:sz="4" w:space="0" w:color="auto"/>
            </w:tcBorders>
            <w:shd w:val="clear" w:color="auto" w:fill="FFFFFF"/>
            <w:tcMar>
              <w:top w:w="120" w:type="dxa"/>
              <w:left w:w="120" w:type="dxa"/>
              <w:bottom w:w="120" w:type="dxa"/>
              <w:right w:w="120" w:type="dxa"/>
            </w:tcMar>
            <w:hideMark/>
          </w:tcPr>
          <w:p w:rsidR="00D62706" w:rsidRDefault="003346A4" w:rsidP="00705763">
            <w:pPr>
              <w:spacing w:after="0" w:line="240" w:lineRule="auto"/>
              <w:jc w:val="both"/>
              <w:rPr>
                <w:rFonts w:ascii="Arial" w:eastAsia="Times New Roman" w:hAnsi="Arial" w:cs="Arial"/>
                <w:sz w:val="18"/>
                <w:szCs w:val="18"/>
              </w:rPr>
            </w:pPr>
            <w:r w:rsidRPr="003346A4">
              <w:rPr>
                <w:rFonts w:ascii="Arial" w:eastAsia="Times New Roman" w:hAnsi="Arial" w:cs="Arial"/>
                <w:sz w:val="18"/>
                <w:szCs w:val="18"/>
              </w:rPr>
              <w:t>74.484.289</w:t>
            </w:r>
          </w:p>
        </w:tc>
      </w:tr>
      <w:tr w:rsidR="00D62706" w:rsidTr="00705763">
        <w:trPr>
          <w:cantSplit/>
          <w:trHeight w:val="20"/>
        </w:trPr>
        <w:tc>
          <w:tcPr>
            <w:tcW w:w="4689" w:type="dxa"/>
            <w:tcBorders>
              <w:top w:val="double" w:sz="4" w:space="0" w:color="auto"/>
              <w:left w:val="double" w:sz="4" w:space="0" w:color="auto"/>
              <w:bottom w:val="double" w:sz="4" w:space="0" w:color="auto"/>
              <w:right w:val="double" w:sz="4" w:space="0" w:color="auto"/>
            </w:tcBorders>
            <w:shd w:val="clear" w:color="auto" w:fill="FFFFFF"/>
            <w:tcMar>
              <w:top w:w="120" w:type="dxa"/>
              <w:left w:w="120" w:type="dxa"/>
              <w:bottom w:w="120" w:type="dxa"/>
              <w:right w:w="120" w:type="dxa"/>
            </w:tcMar>
            <w:hideMark/>
          </w:tcPr>
          <w:p w:rsidR="00D62706" w:rsidRDefault="00D62706" w:rsidP="00705763">
            <w:pPr>
              <w:spacing w:after="0" w:line="240" w:lineRule="auto"/>
              <w:jc w:val="both"/>
              <w:rPr>
                <w:rFonts w:ascii="Arial" w:eastAsia="Times New Roman" w:hAnsi="Arial" w:cs="Arial"/>
                <w:b/>
                <w:bCs/>
                <w:sz w:val="18"/>
                <w:szCs w:val="18"/>
              </w:rPr>
            </w:pPr>
            <w:r>
              <w:rPr>
                <w:rFonts w:ascii="Arial" w:eastAsia="Times New Roman" w:hAnsi="Arial" w:cs="Arial"/>
                <w:b/>
                <w:bCs/>
                <w:sz w:val="18"/>
                <w:szCs w:val="18"/>
              </w:rPr>
              <w:t>Yetişkin Kurgu (Edebiyat-Sanat)</w:t>
            </w:r>
          </w:p>
        </w:tc>
        <w:tc>
          <w:tcPr>
            <w:tcW w:w="3074" w:type="dxa"/>
            <w:tcBorders>
              <w:top w:val="double" w:sz="4" w:space="0" w:color="auto"/>
              <w:left w:val="double" w:sz="4" w:space="0" w:color="auto"/>
              <w:bottom w:val="double" w:sz="4" w:space="0" w:color="auto"/>
              <w:right w:val="double" w:sz="4" w:space="0" w:color="auto"/>
            </w:tcBorders>
            <w:shd w:val="clear" w:color="auto" w:fill="FFFFFF"/>
            <w:tcMar>
              <w:top w:w="120" w:type="dxa"/>
              <w:left w:w="120" w:type="dxa"/>
              <w:bottom w:w="120" w:type="dxa"/>
              <w:right w:w="120" w:type="dxa"/>
            </w:tcMar>
            <w:hideMark/>
          </w:tcPr>
          <w:p w:rsidR="00D62706" w:rsidRDefault="003346A4" w:rsidP="00705763">
            <w:pPr>
              <w:spacing w:after="0" w:line="240" w:lineRule="auto"/>
              <w:jc w:val="both"/>
              <w:rPr>
                <w:rFonts w:ascii="Arial" w:eastAsia="Times New Roman" w:hAnsi="Arial" w:cs="Arial"/>
                <w:sz w:val="18"/>
                <w:szCs w:val="18"/>
              </w:rPr>
            </w:pPr>
            <w:r w:rsidRPr="003346A4">
              <w:rPr>
                <w:rFonts w:ascii="Arial" w:eastAsia="Times New Roman" w:hAnsi="Arial" w:cs="Arial"/>
                <w:sz w:val="18"/>
                <w:szCs w:val="18"/>
              </w:rPr>
              <w:t>24.719.651</w:t>
            </w:r>
          </w:p>
        </w:tc>
      </w:tr>
      <w:tr w:rsidR="00D62706" w:rsidTr="00705763">
        <w:trPr>
          <w:cantSplit/>
          <w:trHeight w:val="20"/>
        </w:trPr>
        <w:tc>
          <w:tcPr>
            <w:tcW w:w="4689" w:type="dxa"/>
            <w:tcBorders>
              <w:top w:val="double" w:sz="4" w:space="0" w:color="auto"/>
              <w:left w:val="double" w:sz="4" w:space="0" w:color="auto"/>
              <w:bottom w:val="double" w:sz="4" w:space="0" w:color="auto"/>
              <w:right w:val="double" w:sz="4" w:space="0" w:color="auto"/>
            </w:tcBorders>
            <w:shd w:val="clear" w:color="auto" w:fill="FFFFFF"/>
            <w:tcMar>
              <w:top w:w="120" w:type="dxa"/>
              <w:left w:w="120" w:type="dxa"/>
              <w:bottom w:w="120" w:type="dxa"/>
              <w:right w:w="120" w:type="dxa"/>
            </w:tcMar>
            <w:hideMark/>
          </w:tcPr>
          <w:p w:rsidR="00D62706" w:rsidRDefault="00D62706" w:rsidP="00705763">
            <w:pPr>
              <w:spacing w:after="0" w:line="240" w:lineRule="auto"/>
              <w:jc w:val="both"/>
              <w:rPr>
                <w:rFonts w:ascii="Arial" w:eastAsia="Times New Roman" w:hAnsi="Arial" w:cs="Arial"/>
                <w:b/>
                <w:bCs/>
                <w:sz w:val="18"/>
                <w:szCs w:val="18"/>
              </w:rPr>
            </w:pPr>
            <w:r>
              <w:rPr>
                <w:rFonts w:ascii="Arial" w:eastAsia="Times New Roman" w:hAnsi="Arial" w:cs="Arial"/>
                <w:b/>
                <w:bCs/>
                <w:sz w:val="18"/>
                <w:szCs w:val="18"/>
              </w:rPr>
              <w:t>Çocuk-Gençlik Kitapları</w:t>
            </w:r>
          </w:p>
        </w:tc>
        <w:tc>
          <w:tcPr>
            <w:tcW w:w="3074" w:type="dxa"/>
            <w:tcBorders>
              <w:top w:val="double" w:sz="4" w:space="0" w:color="auto"/>
              <w:left w:val="double" w:sz="4" w:space="0" w:color="auto"/>
              <w:bottom w:val="double" w:sz="4" w:space="0" w:color="auto"/>
              <w:right w:val="double" w:sz="4" w:space="0" w:color="auto"/>
            </w:tcBorders>
            <w:shd w:val="clear" w:color="auto" w:fill="FFFFFF"/>
            <w:tcMar>
              <w:top w:w="120" w:type="dxa"/>
              <w:left w:w="120" w:type="dxa"/>
              <w:bottom w:w="120" w:type="dxa"/>
              <w:right w:w="120" w:type="dxa"/>
            </w:tcMar>
            <w:hideMark/>
          </w:tcPr>
          <w:p w:rsidR="00D62706" w:rsidRDefault="003346A4" w:rsidP="00705763">
            <w:pPr>
              <w:spacing w:after="0" w:line="240" w:lineRule="auto"/>
              <w:jc w:val="both"/>
              <w:rPr>
                <w:rFonts w:ascii="Arial" w:eastAsia="Times New Roman" w:hAnsi="Arial" w:cs="Arial"/>
                <w:sz w:val="18"/>
                <w:szCs w:val="18"/>
              </w:rPr>
            </w:pPr>
            <w:r w:rsidRPr="003346A4">
              <w:rPr>
                <w:rFonts w:ascii="Arial" w:eastAsia="Times New Roman" w:hAnsi="Arial" w:cs="Arial"/>
                <w:sz w:val="18"/>
                <w:szCs w:val="18"/>
              </w:rPr>
              <w:t>41.273.395</w:t>
            </w:r>
          </w:p>
        </w:tc>
      </w:tr>
      <w:tr w:rsidR="00D62706" w:rsidTr="00705763">
        <w:trPr>
          <w:cantSplit/>
          <w:trHeight w:val="20"/>
        </w:trPr>
        <w:tc>
          <w:tcPr>
            <w:tcW w:w="4689" w:type="dxa"/>
            <w:tcBorders>
              <w:top w:val="double" w:sz="4" w:space="0" w:color="auto"/>
              <w:left w:val="double" w:sz="4" w:space="0" w:color="auto"/>
              <w:bottom w:val="double" w:sz="4" w:space="0" w:color="auto"/>
              <w:right w:val="double" w:sz="4" w:space="0" w:color="auto"/>
            </w:tcBorders>
            <w:shd w:val="clear" w:color="auto" w:fill="FFFFFF"/>
            <w:tcMar>
              <w:top w:w="120" w:type="dxa"/>
              <w:left w:w="120" w:type="dxa"/>
              <w:bottom w:w="120" w:type="dxa"/>
              <w:right w:w="120" w:type="dxa"/>
            </w:tcMar>
            <w:hideMark/>
          </w:tcPr>
          <w:p w:rsidR="00D62706" w:rsidRDefault="00D62706" w:rsidP="00705763">
            <w:pPr>
              <w:spacing w:after="0" w:line="240" w:lineRule="auto"/>
              <w:jc w:val="both"/>
              <w:rPr>
                <w:rFonts w:ascii="Arial" w:eastAsia="Times New Roman" w:hAnsi="Arial" w:cs="Arial"/>
                <w:b/>
                <w:bCs/>
                <w:sz w:val="18"/>
                <w:szCs w:val="18"/>
              </w:rPr>
            </w:pPr>
            <w:r>
              <w:rPr>
                <w:rFonts w:ascii="Arial" w:eastAsia="Times New Roman" w:hAnsi="Arial" w:cs="Arial"/>
                <w:b/>
                <w:bCs/>
                <w:sz w:val="18"/>
                <w:szCs w:val="18"/>
              </w:rPr>
              <w:t>İnanç Kitapları</w:t>
            </w:r>
          </w:p>
        </w:tc>
        <w:tc>
          <w:tcPr>
            <w:tcW w:w="3074" w:type="dxa"/>
            <w:tcBorders>
              <w:top w:val="double" w:sz="4" w:space="0" w:color="auto"/>
              <w:left w:val="double" w:sz="4" w:space="0" w:color="auto"/>
              <w:bottom w:val="double" w:sz="4" w:space="0" w:color="auto"/>
              <w:right w:val="double" w:sz="4" w:space="0" w:color="auto"/>
            </w:tcBorders>
            <w:shd w:val="clear" w:color="auto" w:fill="FFFFFF"/>
            <w:tcMar>
              <w:top w:w="120" w:type="dxa"/>
              <w:left w:w="120" w:type="dxa"/>
              <w:bottom w:w="120" w:type="dxa"/>
              <w:right w:w="120" w:type="dxa"/>
            </w:tcMar>
            <w:hideMark/>
          </w:tcPr>
          <w:p w:rsidR="00D62706" w:rsidRDefault="003346A4" w:rsidP="00705763">
            <w:pPr>
              <w:spacing w:after="0" w:line="240" w:lineRule="auto"/>
              <w:jc w:val="both"/>
              <w:rPr>
                <w:rFonts w:ascii="Arial" w:eastAsia="Times New Roman" w:hAnsi="Arial" w:cs="Arial"/>
                <w:sz w:val="18"/>
                <w:szCs w:val="18"/>
              </w:rPr>
            </w:pPr>
            <w:r w:rsidRPr="003346A4">
              <w:rPr>
                <w:rFonts w:ascii="Arial" w:eastAsia="Times New Roman" w:hAnsi="Arial" w:cs="Arial"/>
                <w:sz w:val="18"/>
                <w:szCs w:val="18"/>
              </w:rPr>
              <w:t>44.431.096</w:t>
            </w:r>
          </w:p>
        </w:tc>
      </w:tr>
      <w:tr w:rsidR="00D62706" w:rsidTr="00705763">
        <w:trPr>
          <w:cantSplit/>
          <w:trHeight w:val="20"/>
        </w:trPr>
        <w:tc>
          <w:tcPr>
            <w:tcW w:w="4689" w:type="dxa"/>
            <w:tcBorders>
              <w:top w:val="double" w:sz="4" w:space="0" w:color="auto"/>
              <w:left w:val="double" w:sz="4" w:space="0" w:color="auto"/>
              <w:bottom w:val="double" w:sz="4" w:space="0" w:color="auto"/>
              <w:right w:val="double" w:sz="4" w:space="0" w:color="auto"/>
            </w:tcBorders>
            <w:shd w:val="clear" w:color="auto" w:fill="FFFFFF"/>
            <w:tcMar>
              <w:top w:w="120" w:type="dxa"/>
              <w:left w:w="120" w:type="dxa"/>
              <w:bottom w:w="120" w:type="dxa"/>
              <w:right w:w="120" w:type="dxa"/>
            </w:tcMar>
            <w:hideMark/>
          </w:tcPr>
          <w:p w:rsidR="00D62706" w:rsidRDefault="00D62706" w:rsidP="00705763">
            <w:pPr>
              <w:spacing w:after="0" w:line="240" w:lineRule="auto"/>
              <w:jc w:val="both"/>
              <w:rPr>
                <w:rFonts w:ascii="Arial" w:eastAsia="Times New Roman" w:hAnsi="Arial" w:cs="Arial"/>
                <w:b/>
                <w:bCs/>
                <w:sz w:val="18"/>
                <w:szCs w:val="18"/>
              </w:rPr>
            </w:pPr>
            <w:r>
              <w:rPr>
                <w:rFonts w:ascii="Arial" w:eastAsia="Times New Roman" w:hAnsi="Arial" w:cs="Arial"/>
                <w:b/>
                <w:bCs/>
                <w:sz w:val="18"/>
                <w:szCs w:val="18"/>
              </w:rPr>
              <w:t>Akademik Yayınlar</w:t>
            </w:r>
          </w:p>
        </w:tc>
        <w:tc>
          <w:tcPr>
            <w:tcW w:w="3074" w:type="dxa"/>
            <w:tcBorders>
              <w:top w:val="double" w:sz="4" w:space="0" w:color="auto"/>
              <w:left w:val="double" w:sz="4" w:space="0" w:color="auto"/>
              <w:bottom w:val="double" w:sz="4" w:space="0" w:color="auto"/>
              <w:right w:val="double" w:sz="4" w:space="0" w:color="auto"/>
            </w:tcBorders>
            <w:shd w:val="clear" w:color="auto" w:fill="FFFFFF"/>
            <w:tcMar>
              <w:top w:w="120" w:type="dxa"/>
              <w:left w:w="120" w:type="dxa"/>
              <w:bottom w:w="120" w:type="dxa"/>
              <w:right w:w="120" w:type="dxa"/>
            </w:tcMar>
            <w:hideMark/>
          </w:tcPr>
          <w:p w:rsidR="00D62706" w:rsidRDefault="003346A4" w:rsidP="00705763">
            <w:pPr>
              <w:spacing w:after="0" w:line="240" w:lineRule="auto"/>
              <w:jc w:val="both"/>
              <w:rPr>
                <w:rFonts w:ascii="Arial" w:eastAsia="Times New Roman" w:hAnsi="Arial" w:cs="Arial"/>
                <w:sz w:val="18"/>
                <w:szCs w:val="18"/>
              </w:rPr>
            </w:pPr>
            <w:r w:rsidRPr="003346A4">
              <w:rPr>
                <w:rFonts w:ascii="Arial" w:eastAsia="Times New Roman" w:hAnsi="Arial" w:cs="Arial"/>
                <w:sz w:val="18"/>
                <w:szCs w:val="18"/>
              </w:rPr>
              <w:t>4.461.008</w:t>
            </w:r>
          </w:p>
        </w:tc>
      </w:tr>
      <w:tr w:rsidR="00D62706" w:rsidTr="00705763">
        <w:trPr>
          <w:cantSplit/>
          <w:trHeight w:val="20"/>
        </w:trPr>
        <w:tc>
          <w:tcPr>
            <w:tcW w:w="4689" w:type="dxa"/>
            <w:tcBorders>
              <w:top w:val="double" w:sz="4" w:space="0" w:color="auto"/>
              <w:left w:val="double" w:sz="4" w:space="0" w:color="auto"/>
              <w:bottom w:val="double" w:sz="4" w:space="0" w:color="auto"/>
              <w:right w:val="double" w:sz="4" w:space="0" w:color="auto"/>
            </w:tcBorders>
            <w:shd w:val="clear" w:color="auto" w:fill="FFFFFF"/>
            <w:tcMar>
              <w:top w:w="120" w:type="dxa"/>
              <w:left w:w="120" w:type="dxa"/>
              <w:bottom w:w="120" w:type="dxa"/>
              <w:right w:w="120" w:type="dxa"/>
            </w:tcMar>
            <w:hideMark/>
          </w:tcPr>
          <w:p w:rsidR="00D62706" w:rsidRDefault="00D62706" w:rsidP="00705763">
            <w:pPr>
              <w:spacing w:after="0" w:line="240" w:lineRule="auto"/>
              <w:jc w:val="both"/>
              <w:rPr>
                <w:rFonts w:ascii="Arial" w:eastAsia="Times New Roman" w:hAnsi="Arial" w:cs="Arial"/>
                <w:b/>
                <w:bCs/>
                <w:sz w:val="18"/>
                <w:szCs w:val="18"/>
              </w:rPr>
            </w:pPr>
            <w:r>
              <w:rPr>
                <w:rFonts w:ascii="Arial" w:eastAsia="Times New Roman" w:hAnsi="Arial" w:cs="Arial"/>
                <w:b/>
                <w:bCs/>
                <w:sz w:val="18"/>
                <w:szCs w:val="18"/>
              </w:rPr>
              <w:t>Eğitim Kitapları</w:t>
            </w:r>
          </w:p>
        </w:tc>
        <w:tc>
          <w:tcPr>
            <w:tcW w:w="3074" w:type="dxa"/>
            <w:tcBorders>
              <w:top w:val="double" w:sz="4" w:space="0" w:color="auto"/>
              <w:left w:val="double" w:sz="4" w:space="0" w:color="auto"/>
              <w:bottom w:val="double" w:sz="4" w:space="0" w:color="auto"/>
              <w:right w:val="double" w:sz="4" w:space="0" w:color="auto"/>
            </w:tcBorders>
            <w:shd w:val="clear" w:color="auto" w:fill="FFFFFF"/>
            <w:tcMar>
              <w:top w:w="120" w:type="dxa"/>
              <w:left w:w="120" w:type="dxa"/>
              <w:bottom w:w="120" w:type="dxa"/>
              <w:right w:w="120" w:type="dxa"/>
            </w:tcMar>
            <w:hideMark/>
          </w:tcPr>
          <w:p w:rsidR="00D62706" w:rsidRDefault="003346A4" w:rsidP="00705763">
            <w:pPr>
              <w:spacing w:after="0" w:line="240" w:lineRule="auto"/>
              <w:jc w:val="both"/>
              <w:rPr>
                <w:rFonts w:ascii="Arial" w:eastAsia="Times New Roman" w:hAnsi="Arial" w:cs="Arial"/>
                <w:sz w:val="18"/>
                <w:szCs w:val="18"/>
              </w:rPr>
            </w:pPr>
            <w:r w:rsidRPr="003346A4">
              <w:rPr>
                <w:rFonts w:ascii="Arial" w:eastAsia="Times New Roman" w:hAnsi="Arial" w:cs="Arial"/>
                <w:sz w:val="18"/>
                <w:szCs w:val="18"/>
              </w:rPr>
              <w:t>215.370.387</w:t>
            </w:r>
          </w:p>
        </w:tc>
      </w:tr>
      <w:tr w:rsidR="00D62706" w:rsidTr="00705763">
        <w:trPr>
          <w:cantSplit/>
          <w:trHeight w:val="20"/>
        </w:trPr>
        <w:tc>
          <w:tcPr>
            <w:tcW w:w="4689" w:type="dxa"/>
            <w:tcBorders>
              <w:top w:val="double" w:sz="4" w:space="0" w:color="auto"/>
              <w:left w:val="double" w:sz="4" w:space="0" w:color="auto"/>
              <w:bottom w:val="double" w:sz="4" w:space="0" w:color="auto"/>
              <w:right w:val="double" w:sz="4" w:space="0" w:color="auto"/>
            </w:tcBorders>
            <w:shd w:val="clear" w:color="auto" w:fill="FFFFFF"/>
            <w:tcMar>
              <w:top w:w="120" w:type="dxa"/>
              <w:left w:w="120" w:type="dxa"/>
              <w:bottom w:w="120" w:type="dxa"/>
              <w:right w:w="120" w:type="dxa"/>
            </w:tcMar>
            <w:hideMark/>
          </w:tcPr>
          <w:p w:rsidR="00D62706" w:rsidRDefault="00D62706" w:rsidP="00705763">
            <w:pPr>
              <w:spacing w:after="0" w:line="240" w:lineRule="auto"/>
              <w:jc w:val="both"/>
              <w:rPr>
                <w:rFonts w:ascii="Arial" w:eastAsia="Times New Roman" w:hAnsi="Arial" w:cs="Arial"/>
                <w:b/>
                <w:bCs/>
                <w:sz w:val="18"/>
                <w:szCs w:val="18"/>
              </w:rPr>
            </w:pPr>
            <w:r>
              <w:rPr>
                <w:rFonts w:ascii="Arial" w:eastAsia="Times New Roman" w:hAnsi="Arial" w:cs="Arial"/>
                <w:b/>
                <w:bCs/>
                <w:sz w:val="18"/>
                <w:szCs w:val="18"/>
              </w:rPr>
              <w:t>İthal Kitaplar</w:t>
            </w:r>
          </w:p>
        </w:tc>
        <w:tc>
          <w:tcPr>
            <w:tcW w:w="3074" w:type="dxa"/>
            <w:tcBorders>
              <w:top w:val="double" w:sz="4" w:space="0" w:color="auto"/>
              <w:left w:val="double" w:sz="4" w:space="0" w:color="auto"/>
              <w:bottom w:val="double" w:sz="4" w:space="0" w:color="auto"/>
              <w:right w:val="double" w:sz="4" w:space="0" w:color="auto"/>
            </w:tcBorders>
            <w:shd w:val="clear" w:color="auto" w:fill="FFFFFF"/>
            <w:tcMar>
              <w:top w:w="120" w:type="dxa"/>
              <w:left w:w="120" w:type="dxa"/>
              <w:bottom w:w="120" w:type="dxa"/>
              <w:right w:w="120" w:type="dxa"/>
            </w:tcMar>
            <w:hideMark/>
          </w:tcPr>
          <w:p w:rsidR="00D62706" w:rsidRDefault="003346A4" w:rsidP="00705763">
            <w:pPr>
              <w:spacing w:after="0" w:line="240" w:lineRule="auto"/>
              <w:jc w:val="both"/>
              <w:rPr>
                <w:rFonts w:ascii="Arial" w:eastAsia="Times New Roman" w:hAnsi="Arial" w:cs="Arial"/>
                <w:sz w:val="18"/>
                <w:szCs w:val="18"/>
              </w:rPr>
            </w:pPr>
            <w:r w:rsidRPr="003346A4">
              <w:rPr>
                <w:rFonts w:ascii="Arial" w:eastAsia="Times New Roman" w:hAnsi="Arial" w:cs="Arial"/>
                <w:sz w:val="18"/>
                <w:szCs w:val="18"/>
              </w:rPr>
              <w:t>5.901.479</w:t>
            </w:r>
          </w:p>
        </w:tc>
      </w:tr>
      <w:tr w:rsidR="00D62706" w:rsidTr="00705763">
        <w:trPr>
          <w:cantSplit/>
          <w:trHeight w:val="20"/>
        </w:trPr>
        <w:tc>
          <w:tcPr>
            <w:tcW w:w="4689" w:type="dxa"/>
            <w:tcBorders>
              <w:top w:val="double" w:sz="4" w:space="0" w:color="auto"/>
              <w:left w:val="double" w:sz="4" w:space="0" w:color="auto"/>
              <w:bottom w:val="double" w:sz="4" w:space="0" w:color="auto"/>
              <w:right w:val="double" w:sz="4" w:space="0" w:color="auto"/>
            </w:tcBorders>
            <w:shd w:val="clear" w:color="auto" w:fill="FFFFFF"/>
            <w:tcMar>
              <w:top w:w="120" w:type="dxa"/>
              <w:left w:w="120" w:type="dxa"/>
              <w:bottom w:w="120" w:type="dxa"/>
              <w:right w:w="120" w:type="dxa"/>
            </w:tcMar>
            <w:hideMark/>
          </w:tcPr>
          <w:p w:rsidR="00D62706" w:rsidRDefault="00D62706" w:rsidP="00705763">
            <w:pPr>
              <w:spacing w:after="0" w:line="240" w:lineRule="auto"/>
              <w:jc w:val="both"/>
              <w:rPr>
                <w:rFonts w:ascii="Arial" w:eastAsia="Times New Roman" w:hAnsi="Arial" w:cs="Arial"/>
                <w:b/>
                <w:bCs/>
                <w:sz w:val="18"/>
                <w:szCs w:val="18"/>
              </w:rPr>
            </w:pPr>
            <w:r>
              <w:rPr>
                <w:rFonts w:ascii="Arial" w:eastAsia="Times New Roman" w:hAnsi="Arial" w:cs="Arial"/>
                <w:b/>
                <w:bCs/>
                <w:sz w:val="18"/>
                <w:szCs w:val="18"/>
              </w:rPr>
              <w:t>Toplam</w:t>
            </w:r>
          </w:p>
        </w:tc>
        <w:tc>
          <w:tcPr>
            <w:tcW w:w="3074" w:type="dxa"/>
            <w:tcBorders>
              <w:top w:val="double" w:sz="4" w:space="0" w:color="auto"/>
              <w:left w:val="double" w:sz="4" w:space="0" w:color="auto"/>
              <w:bottom w:val="double" w:sz="4" w:space="0" w:color="auto"/>
              <w:right w:val="double" w:sz="4" w:space="0" w:color="auto"/>
            </w:tcBorders>
            <w:shd w:val="clear" w:color="auto" w:fill="FFFFFF"/>
            <w:tcMar>
              <w:top w:w="120" w:type="dxa"/>
              <w:left w:w="120" w:type="dxa"/>
              <w:bottom w:w="120" w:type="dxa"/>
              <w:right w:w="120" w:type="dxa"/>
            </w:tcMar>
            <w:hideMark/>
          </w:tcPr>
          <w:p w:rsidR="00D62706" w:rsidRDefault="003346A4" w:rsidP="00705763">
            <w:pPr>
              <w:spacing w:after="0" w:line="240" w:lineRule="auto"/>
              <w:jc w:val="both"/>
              <w:rPr>
                <w:rFonts w:ascii="Arial" w:eastAsia="Times New Roman" w:hAnsi="Arial" w:cs="Arial"/>
                <w:b/>
                <w:bCs/>
                <w:sz w:val="18"/>
                <w:szCs w:val="18"/>
              </w:rPr>
            </w:pPr>
            <w:r w:rsidRPr="003346A4">
              <w:rPr>
                <w:rFonts w:ascii="Arial" w:eastAsia="Times New Roman" w:hAnsi="Arial" w:cs="Arial"/>
                <w:b/>
                <w:bCs/>
                <w:sz w:val="18"/>
                <w:szCs w:val="18"/>
              </w:rPr>
              <w:t>410.641.305</w:t>
            </w:r>
          </w:p>
        </w:tc>
      </w:tr>
    </w:tbl>
    <w:p w:rsidR="00D62706" w:rsidRDefault="00D62706" w:rsidP="00D62706">
      <w:pPr>
        <w:rPr>
          <w:color w:val="FF0000"/>
        </w:rPr>
      </w:pPr>
    </w:p>
    <w:p w:rsidR="003346A4" w:rsidRDefault="003346A4" w:rsidP="00D62706">
      <w:pPr>
        <w:rPr>
          <w:color w:val="FF0000"/>
        </w:rPr>
      </w:pPr>
    </w:p>
    <w:p w:rsidR="003346A4" w:rsidRDefault="003346A4" w:rsidP="00D62706">
      <w:pPr>
        <w:rPr>
          <w:color w:val="FF0000"/>
        </w:rPr>
      </w:pPr>
      <w:r>
        <w:rPr>
          <w:noProof/>
          <w:lang w:eastAsia="tr-TR"/>
        </w:rPr>
        <w:lastRenderedPageBreak/>
        <w:drawing>
          <wp:inline distT="0" distB="0" distL="0" distR="0" wp14:anchorId="763A19E9" wp14:editId="7794D74D">
            <wp:extent cx="4781550" cy="3095625"/>
            <wp:effectExtent l="0" t="0" r="19050" b="9525"/>
            <wp:docPr id="4" name="Grafik 4" title="YIL: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3346A4" w:rsidRDefault="003346A4" w:rsidP="00D62706">
      <w:pPr>
        <w:rPr>
          <w:color w:val="FF0000"/>
        </w:rPr>
      </w:pPr>
    </w:p>
    <w:p w:rsidR="003346A4" w:rsidRDefault="003346A4" w:rsidP="00D62706">
      <w:pPr>
        <w:rPr>
          <w:color w:val="FF0000"/>
        </w:rPr>
      </w:pPr>
    </w:p>
    <w:p w:rsidR="003346A4" w:rsidRDefault="003346A4" w:rsidP="00D62706">
      <w:pPr>
        <w:rPr>
          <w:color w:val="FF0000"/>
        </w:rPr>
      </w:pPr>
    </w:p>
    <w:p w:rsidR="003346A4" w:rsidRDefault="003346A4" w:rsidP="00D62706">
      <w:pPr>
        <w:rPr>
          <w:color w:val="FF0000"/>
        </w:rPr>
      </w:pPr>
    </w:p>
    <w:p w:rsidR="00CA6E88" w:rsidRDefault="00CA6E88" w:rsidP="00D62706">
      <w:pPr>
        <w:rPr>
          <w:color w:val="FF0000"/>
        </w:rPr>
      </w:pPr>
    </w:p>
    <w:p w:rsidR="00CA6E88" w:rsidRDefault="00CA6E88" w:rsidP="00D62706">
      <w:pPr>
        <w:rPr>
          <w:color w:val="FF0000"/>
        </w:rPr>
      </w:pPr>
      <w:r>
        <w:rPr>
          <w:noProof/>
          <w:lang w:eastAsia="tr-TR"/>
        </w:rPr>
        <w:drawing>
          <wp:inline distT="0" distB="0" distL="0" distR="0" wp14:anchorId="72630EE4" wp14:editId="5F5839F2">
            <wp:extent cx="4781550" cy="3095625"/>
            <wp:effectExtent l="0" t="0" r="19050" b="9525"/>
            <wp:docPr id="7" name="Grafik 7" title="YIL: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444D31" w:rsidRDefault="00444D31">
      <w:pPr>
        <w:rPr>
          <w:noProof/>
          <w:lang w:eastAsia="tr-TR"/>
        </w:rPr>
      </w:pPr>
    </w:p>
    <w:sectPr w:rsidR="00444D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B04"/>
    <w:rsid w:val="00032C4E"/>
    <w:rsid w:val="00033C7C"/>
    <w:rsid w:val="00053191"/>
    <w:rsid w:val="00083A1D"/>
    <w:rsid w:val="000C011E"/>
    <w:rsid w:val="000D6502"/>
    <w:rsid w:val="00104A93"/>
    <w:rsid w:val="00125E28"/>
    <w:rsid w:val="001758D4"/>
    <w:rsid w:val="001863AA"/>
    <w:rsid w:val="0019051F"/>
    <w:rsid w:val="00194DA0"/>
    <w:rsid w:val="001A772F"/>
    <w:rsid w:val="001F67A6"/>
    <w:rsid w:val="0020054A"/>
    <w:rsid w:val="002066F4"/>
    <w:rsid w:val="0023500F"/>
    <w:rsid w:val="00276749"/>
    <w:rsid w:val="00281D6A"/>
    <w:rsid w:val="002A2C9B"/>
    <w:rsid w:val="002B0478"/>
    <w:rsid w:val="002D7A18"/>
    <w:rsid w:val="002E32BC"/>
    <w:rsid w:val="002E3EA8"/>
    <w:rsid w:val="0031518D"/>
    <w:rsid w:val="003346A4"/>
    <w:rsid w:val="00345C02"/>
    <w:rsid w:val="0035424F"/>
    <w:rsid w:val="0036350A"/>
    <w:rsid w:val="00374ED7"/>
    <w:rsid w:val="00376D47"/>
    <w:rsid w:val="00383770"/>
    <w:rsid w:val="003B0EB1"/>
    <w:rsid w:val="003D7CDF"/>
    <w:rsid w:val="003E54AE"/>
    <w:rsid w:val="00432021"/>
    <w:rsid w:val="00444D31"/>
    <w:rsid w:val="00497C31"/>
    <w:rsid w:val="00497D8E"/>
    <w:rsid w:val="004D29BD"/>
    <w:rsid w:val="004F1288"/>
    <w:rsid w:val="005007A3"/>
    <w:rsid w:val="00511AAC"/>
    <w:rsid w:val="00540B04"/>
    <w:rsid w:val="00541D4F"/>
    <w:rsid w:val="005D3313"/>
    <w:rsid w:val="005E3C41"/>
    <w:rsid w:val="005F278B"/>
    <w:rsid w:val="00625B69"/>
    <w:rsid w:val="00680EFE"/>
    <w:rsid w:val="00685ED2"/>
    <w:rsid w:val="00692582"/>
    <w:rsid w:val="006943B7"/>
    <w:rsid w:val="006A77BC"/>
    <w:rsid w:val="006B32CC"/>
    <w:rsid w:val="006C7CFB"/>
    <w:rsid w:val="006D5917"/>
    <w:rsid w:val="006E02A5"/>
    <w:rsid w:val="006E3530"/>
    <w:rsid w:val="00724778"/>
    <w:rsid w:val="0076750F"/>
    <w:rsid w:val="00775674"/>
    <w:rsid w:val="007C396E"/>
    <w:rsid w:val="008025CB"/>
    <w:rsid w:val="008C19BD"/>
    <w:rsid w:val="008C5FA2"/>
    <w:rsid w:val="008D68CD"/>
    <w:rsid w:val="008E424A"/>
    <w:rsid w:val="009666B2"/>
    <w:rsid w:val="009718F7"/>
    <w:rsid w:val="00995A6C"/>
    <w:rsid w:val="009B3156"/>
    <w:rsid w:val="00A3026F"/>
    <w:rsid w:val="00A7075A"/>
    <w:rsid w:val="00AA3A9A"/>
    <w:rsid w:val="00AA4E3C"/>
    <w:rsid w:val="00AB0BF7"/>
    <w:rsid w:val="00AC1FB0"/>
    <w:rsid w:val="00AF2B81"/>
    <w:rsid w:val="00AF4086"/>
    <w:rsid w:val="00B404EC"/>
    <w:rsid w:val="00BD35C9"/>
    <w:rsid w:val="00C2192F"/>
    <w:rsid w:val="00C90D88"/>
    <w:rsid w:val="00CA6E88"/>
    <w:rsid w:val="00CC7989"/>
    <w:rsid w:val="00D27449"/>
    <w:rsid w:val="00D3213A"/>
    <w:rsid w:val="00D33355"/>
    <w:rsid w:val="00D467DE"/>
    <w:rsid w:val="00D62706"/>
    <w:rsid w:val="00DA5D27"/>
    <w:rsid w:val="00DE21E9"/>
    <w:rsid w:val="00E16BE5"/>
    <w:rsid w:val="00E26581"/>
    <w:rsid w:val="00E45076"/>
    <w:rsid w:val="00E55E45"/>
    <w:rsid w:val="00E62B25"/>
    <w:rsid w:val="00EF5627"/>
    <w:rsid w:val="00F50E4E"/>
    <w:rsid w:val="00F52D4E"/>
    <w:rsid w:val="00F769E6"/>
    <w:rsid w:val="00FB5122"/>
    <w:rsid w:val="00FC15DD"/>
    <w:rsid w:val="00FE08C2"/>
    <w:rsid w:val="00FE6755"/>
    <w:rsid w:val="00FF70BB"/>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706"/>
  </w:style>
  <w:style w:type="paragraph" w:styleId="Balk1">
    <w:name w:val="heading 1"/>
    <w:basedOn w:val="Normal"/>
    <w:next w:val="Normal"/>
    <w:link w:val="Balk1Char"/>
    <w:uiPriority w:val="9"/>
    <w:qFormat/>
    <w:rsid w:val="001863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863AA"/>
    <w:rPr>
      <w:rFonts w:asciiTheme="majorHAnsi" w:eastAsiaTheme="majorEastAsia" w:hAnsiTheme="majorHAnsi" w:cstheme="majorBidi"/>
      <w:b/>
      <w:bCs/>
      <w:color w:val="365F91" w:themeColor="accent1" w:themeShade="BF"/>
      <w:sz w:val="28"/>
      <w:szCs w:val="28"/>
    </w:rPr>
  </w:style>
  <w:style w:type="paragraph" w:styleId="BalonMetni">
    <w:name w:val="Balloon Text"/>
    <w:basedOn w:val="Normal"/>
    <w:link w:val="BalonMetniChar"/>
    <w:uiPriority w:val="99"/>
    <w:semiHidden/>
    <w:unhideWhenUsed/>
    <w:rsid w:val="00E450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450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706"/>
  </w:style>
  <w:style w:type="paragraph" w:styleId="Balk1">
    <w:name w:val="heading 1"/>
    <w:basedOn w:val="Normal"/>
    <w:next w:val="Normal"/>
    <w:link w:val="Balk1Char"/>
    <w:uiPriority w:val="9"/>
    <w:qFormat/>
    <w:rsid w:val="001863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863AA"/>
    <w:rPr>
      <w:rFonts w:asciiTheme="majorHAnsi" w:eastAsiaTheme="majorEastAsia" w:hAnsiTheme="majorHAnsi" w:cstheme="majorBidi"/>
      <w:b/>
      <w:bCs/>
      <w:color w:val="365F91" w:themeColor="accent1" w:themeShade="BF"/>
      <w:sz w:val="28"/>
      <w:szCs w:val="28"/>
    </w:rPr>
  </w:style>
  <w:style w:type="paragraph" w:styleId="BalonMetni">
    <w:name w:val="Balloon Text"/>
    <w:basedOn w:val="Normal"/>
    <w:link w:val="BalonMetniChar"/>
    <w:uiPriority w:val="99"/>
    <w:semiHidden/>
    <w:unhideWhenUsed/>
    <w:rsid w:val="00E450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450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622330">
      <w:bodyDiv w:val="1"/>
      <w:marLeft w:val="0"/>
      <w:marRight w:val="0"/>
      <w:marTop w:val="0"/>
      <w:marBottom w:val="0"/>
      <w:divBdr>
        <w:top w:val="none" w:sz="0" w:space="0" w:color="auto"/>
        <w:left w:val="none" w:sz="0" w:space="0" w:color="auto"/>
        <w:bottom w:val="none" w:sz="0" w:space="0" w:color="auto"/>
        <w:right w:val="none" w:sz="0" w:space="0" w:color="auto"/>
      </w:divBdr>
    </w:div>
    <w:div w:id="1184634956">
      <w:bodyDiv w:val="1"/>
      <w:marLeft w:val="0"/>
      <w:marRight w:val="0"/>
      <w:marTop w:val="0"/>
      <w:marBottom w:val="0"/>
      <w:divBdr>
        <w:top w:val="none" w:sz="0" w:space="0" w:color="auto"/>
        <w:left w:val="none" w:sz="0" w:space="0" w:color="auto"/>
        <w:bottom w:val="none" w:sz="0" w:space="0" w:color="auto"/>
        <w:right w:val="none" w:sz="0" w:space="0" w:color="auto"/>
      </w:divBdr>
    </w:div>
    <w:div w:id="1539269958">
      <w:bodyDiv w:val="1"/>
      <w:marLeft w:val="0"/>
      <w:marRight w:val="0"/>
      <w:marTop w:val="0"/>
      <w:marBottom w:val="0"/>
      <w:divBdr>
        <w:top w:val="none" w:sz="0" w:space="0" w:color="auto"/>
        <w:left w:val="none" w:sz="0" w:space="0" w:color="auto"/>
        <w:bottom w:val="none" w:sz="0" w:space="0" w:color="auto"/>
        <w:right w:val="none" w:sz="0" w:space="0" w:color="auto"/>
      </w:divBdr>
    </w:div>
    <w:div w:id="192179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chart" Target="charts/chart2.xml"/><Relationship Id="rId5"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140"/>
      <c:rAngAx val="1"/>
    </c:view3D>
    <c:floor>
      <c:thickness val="0"/>
    </c:floor>
    <c:sideWall>
      <c:thickness val="0"/>
      <c:spPr>
        <a:pattFill prst="pct10">
          <a:fgClr>
            <a:schemeClr val="accent1"/>
          </a:fgClr>
          <a:bgClr>
            <a:schemeClr val="bg1"/>
          </a:bgClr>
        </a:pattFill>
      </c:spPr>
    </c:sideWall>
    <c:backWall>
      <c:thickness val="0"/>
      <c:spPr>
        <a:pattFill prst="pct10">
          <a:fgClr>
            <a:schemeClr val="accent1"/>
          </a:fgClr>
          <a:bgClr>
            <a:schemeClr val="bg1"/>
          </a:bgClr>
        </a:pattFill>
      </c:spPr>
    </c:backWall>
    <c:plotArea>
      <c:layout>
        <c:manualLayout>
          <c:layoutTarget val="inner"/>
          <c:xMode val="edge"/>
          <c:yMode val="edge"/>
          <c:x val="0.15697649414729892"/>
          <c:y val="0.14505605403975666"/>
          <c:w val="0.74995183805375398"/>
          <c:h val="0.74796150481189849"/>
        </c:manualLayout>
      </c:layout>
      <c:bar3DChart>
        <c:barDir val="col"/>
        <c:grouping val="clustered"/>
        <c:varyColors val="0"/>
        <c:ser>
          <c:idx val="0"/>
          <c:order val="0"/>
          <c:spPr>
            <a:pattFill prst="dkDnDiag">
              <a:fgClr>
                <a:schemeClr val="accent1"/>
              </a:fgClr>
              <a:bgClr>
                <a:schemeClr val="bg1"/>
              </a:bgClr>
            </a:pattFill>
            <a:ln w="19050">
              <a:solidFill>
                <a:schemeClr val="accent2">
                  <a:lumMod val="75000"/>
                </a:schemeClr>
              </a:solidFill>
            </a:ln>
            <a:effectLst>
              <a:outerShdw blurRad="50800" dist="38100" dir="2700000" algn="tl" rotWithShape="0">
                <a:schemeClr val="tx1">
                  <a:alpha val="34000"/>
                </a:schemeClr>
              </a:outerShdw>
            </a:effectLst>
          </c:spPr>
          <c:invertIfNegative val="0"/>
          <c:dLbls>
            <c:dLbl>
              <c:idx val="0"/>
              <c:tx>
                <c:rich>
                  <a:bodyPr/>
                  <a:lstStyle/>
                  <a:p>
                    <a:r>
                      <a:rPr lang="tr-TR"/>
                      <a:t>214M</a:t>
                    </a:r>
                    <a:endParaRPr lang="en-US"/>
                  </a:p>
                </c:rich>
              </c:tx>
              <c:showLegendKey val="0"/>
              <c:showVal val="1"/>
              <c:showCatName val="0"/>
              <c:showSerName val="0"/>
              <c:showPercent val="0"/>
              <c:showBubbleSize val="0"/>
            </c:dLbl>
            <c:dLbl>
              <c:idx val="1"/>
              <c:layout>
                <c:manualLayout>
                  <c:x val="2.0938194768133972E-3"/>
                  <c:y val="6.9657725521685629E-3"/>
                </c:manualLayout>
              </c:layout>
              <c:tx>
                <c:rich>
                  <a:bodyPr/>
                  <a:lstStyle/>
                  <a:p>
                    <a:r>
                      <a:rPr lang="tr-TR" baseline="0"/>
                      <a:t>289</a:t>
                    </a:r>
                    <a:r>
                      <a:rPr lang="tr-TR"/>
                      <a:t>M</a:t>
                    </a:r>
                    <a:endParaRPr lang="en-US"/>
                  </a:p>
                </c:rich>
              </c:tx>
              <c:showLegendKey val="0"/>
              <c:showVal val="1"/>
              <c:showCatName val="0"/>
              <c:showSerName val="0"/>
              <c:showPercent val="0"/>
              <c:showBubbleSize val="0"/>
            </c:dLbl>
            <c:dLbl>
              <c:idx val="2"/>
              <c:layout>
                <c:manualLayout>
                  <c:x val="1.4871684813772799E-2"/>
                  <c:y val="-6.6649279659587628E-3"/>
                </c:manualLayout>
              </c:layout>
              <c:tx>
                <c:rich>
                  <a:bodyPr/>
                  <a:lstStyle/>
                  <a:p>
                    <a:r>
                      <a:rPr lang="tr-TR" baseline="0"/>
                      <a:t>293</a:t>
                    </a:r>
                    <a:r>
                      <a:rPr lang="tr-TR"/>
                      <a:t>M</a:t>
                    </a:r>
                    <a:endParaRPr lang="en-US"/>
                  </a:p>
                </c:rich>
              </c:tx>
              <c:showLegendKey val="0"/>
              <c:showVal val="1"/>
              <c:showCatName val="0"/>
              <c:showSerName val="0"/>
              <c:showPercent val="0"/>
              <c:showBubbleSize val="0"/>
            </c:dLbl>
            <c:dLbl>
              <c:idx val="3"/>
              <c:layout>
                <c:manualLayout>
                  <c:x val="6.4135417352638854E-3"/>
                  <c:y val="-1.0045796704187673E-2"/>
                </c:manualLayout>
              </c:layout>
              <c:tx>
                <c:rich>
                  <a:bodyPr/>
                  <a:lstStyle/>
                  <a:p>
                    <a:r>
                      <a:rPr lang="tr-TR"/>
                      <a:t>330M</a:t>
                    </a:r>
                    <a:endParaRPr lang="en-US"/>
                  </a:p>
                </c:rich>
              </c:tx>
              <c:showLegendKey val="0"/>
              <c:showVal val="1"/>
              <c:showCatName val="0"/>
              <c:showSerName val="0"/>
              <c:showPercent val="0"/>
              <c:showBubbleSize val="0"/>
            </c:dLbl>
            <c:dLbl>
              <c:idx val="4"/>
              <c:layout>
                <c:manualLayout>
                  <c:x val="1.0713598483788991E-2"/>
                  <c:y val="-1.042489268976032E-2"/>
                </c:manualLayout>
              </c:layout>
              <c:tx>
                <c:rich>
                  <a:bodyPr/>
                  <a:lstStyle/>
                  <a:p>
                    <a:r>
                      <a:rPr lang="tr-TR"/>
                      <a:t>344M</a:t>
                    </a:r>
                    <a:endParaRPr lang="en-US"/>
                  </a:p>
                </c:rich>
              </c:tx>
              <c:showLegendKey val="0"/>
              <c:showVal val="1"/>
              <c:showCatName val="0"/>
              <c:showSerName val="0"/>
              <c:showPercent val="0"/>
              <c:showBubbleSize val="0"/>
            </c:dLbl>
            <c:dLbl>
              <c:idx val="5"/>
              <c:layout>
                <c:manualLayout>
                  <c:x val="8.5256747739017001E-3"/>
                  <c:y val="1.5906094804164434E-5"/>
                </c:manualLayout>
              </c:layout>
              <c:tx>
                <c:rich>
                  <a:bodyPr/>
                  <a:lstStyle/>
                  <a:p>
                    <a:r>
                      <a:rPr lang="tr-TR"/>
                      <a:t>384M</a:t>
                    </a:r>
                    <a:endParaRPr lang="en-US"/>
                  </a:p>
                </c:rich>
              </c:tx>
              <c:showLegendKey val="0"/>
              <c:showVal val="1"/>
              <c:showCatName val="0"/>
              <c:showSerName val="0"/>
              <c:showPercent val="0"/>
              <c:showBubbleSize val="0"/>
            </c:dLbl>
            <c:dLbl>
              <c:idx val="6"/>
              <c:layout>
                <c:manualLayout>
                  <c:x val="1.280988964189785E-2"/>
                  <c:y val="6.9720801414874557E-3"/>
                </c:manualLayout>
              </c:layout>
              <c:tx>
                <c:rich>
                  <a:bodyPr/>
                  <a:lstStyle/>
                  <a:p>
                    <a:r>
                      <a:rPr lang="tr-TR"/>
                      <a:t>404M</a:t>
                    </a:r>
                    <a:endParaRPr lang="en-US"/>
                  </a:p>
                </c:rich>
              </c:tx>
              <c:showLegendKey val="0"/>
              <c:showVal val="1"/>
              <c:showCatName val="0"/>
              <c:showSerName val="0"/>
              <c:showPercent val="0"/>
              <c:showBubbleSize val="0"/>
            </c:dLbl>
            <c:dLbl>
              <c:idx val="7"/>
              <c:layout>
                <c:manualLayout>
                  <c:x val="1.2866393258464644E-2"/>
                  <c:y val="-6.9984074708184865E-3"/>
                </c:manualLayout>
              </c:layout>
              <c:tx>
                <c:rich>
                  <a:bodyPr/>
                  <a:lstStyle/>
                  <a:p>
                    <a:r>
                      <a:rPr lang="tr-TR"/>
                      <a:t>407M</a:t>
                    </a:r>
                    <a:endParaRPr lang="en-US"/>
                  </a:p>
                </c:rich>
              </c:tx>
              <c:showLegendKey val="0"/>
              <c:showVal val="1"/>
              <c:showCatName val="0"/>
              <c:showSerName val="0"/>
              <c:showPercent val="0"/>
              <c:showBubbleSize val="0"/>
            </c:dLbl>
            <c:dLbl>
              <c:idx val="8"/>
              <c:layout>
                <c:manualLayout>
                  <c:x val="2.14316373306149E-2"/>
                  <c:y val="-7.196959412856677E-3"/>
                </c:manualLayout>
              </c:layout>
              <c:tx>
                <c:rich>
                  <a:bodyPr/>
                  <a:lstStyle/>
                  <a:p>
                    <a:r>
                      <a:rPr lang="tr-TR"/>
                      <a:t>410M</a:t>
                    </a:r>
                    <a:endParaRPr lang="en-US"/>
                  </a:p>
                </c:rich>
              </c:tx>
              <c:showLegendKey val="0"/>
              <c:showVal val="1"/>
              <c:showCatName val="0"/>
              <c:showSerName val="0"/>
              <c:showPercent val="0"/>
              <c:showBubbleSize val="0"/>
            </c:dLbl>
            <c:txPr>
              <a:bodyPr/>
              <a:lstStyle/>
              <a:p>
                <a:pPr>
                  <a:defRPr baseline="0">
                    <a:latin typeface="Arial Black" panose="020B0A04020102020204" pitchFamily="34" charset="0"/>
                  </a:defRPr>
                </a:pPr>
                <a:endParaRPr lang="tr-TR"/>
              </a:p>
            </c:txPr>
            <c:showLegendKey val="0"/>
            <c:showVal val="1"/>
            <c:showCatName val="0"/>
            <c:showSerName val="0"/>
            <c:showPercent val="0"/>
            <c:showBubbleSize val="0"/>
            <c:showLeaderLines val="0"/>
          </c:dLbls>
          <c:cat>
            <c:numRef>
              <c:f>'MUKAYESELİ SATIŞ RAPORU'!$B$2:$J$2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'MUKAYESELİ SATIŞ RAPORU'!$B$15:$J$15</c:f>
              <c:numCache>
                <c:formatCode>#,##0</c:formatCode>
                <c:ptCount val="9"/>
                <c:pt idx="0">
                  <c:v>214414289</c:v>
                </c:pt>
                <c:pt idx="1">
                  <c:v>289193982</c:v>
                </c:pt>
                <c:pt idx="2">
                  <c:v>293257824</c:v>
                </c:pt>
                <c:pt idx="3">
                  <c:v>330017405</c:v>
                </c:pt>
                <c:pt idx="4">
                  <c:v>344405399</c:v>
                </c:pt>
                <c:pt idx="5">
                  <c:v>384054363</c:v>
                </c:pt>
                <c:pt idx="6">
                  <c:v>404129293</c:v>
                </c:pt>
                <c:pt idx="7">
                  <c:v>407739008</c:v>
                </c:pt>
                <c:pt idx="8">
                  <c:v>410641305</c:v>
                </c:pt>
              </c:numCache>
            </c:numRef>
          </c:val>
        </c:ser>
        <c:dLbls>
          <c:showLegendKey val="0"/>
          <c:showVal val="0"/>
          <c:showCatName val="0"/>
          <c:showSerName val="0"/>
          <c:showPercent val="0"/>
          <c:showBubbleSize val="0"/>
        </c:dLbls>
        <c:gapWidth val="150"/>
        <c:shape val="box"/>
        <c:axId val="225270400"/>
        <c:axId val="248414592"/>
        <c:axId val="0"/>
      </c:bar3DChart>
      <c:catAx>
        <c:axId val="225270400"/>
        <c:scaling>
          <c:orientation val="minMax"/>
        </c:scaling>
        <c:delete val="0"/>
        <c:axPos val="b"/>
        <c:numFmt formatCode="General" sourceLinked="1"/>
        <c:majorTickMark val="out"/>
        <c:minorTickMark val="none"/>
        <c:tickLblPos val="nextTo"/>
        <c:txPr>
          <a:bodyPr/>
          <a:lstStyle/>
          <a:p>
            <a:pPr>
              <a:defRPr sz="1200" b="1"/>
            </a:pPr>
            <a:endParaRPr lang="tr-TR"/>
          </a:p>
        </c:txPr>
        <c:crossAx val="248414592"/>
        <c:crosses val="autoZero"/>
        <c:auto val="1"/>
        <c:lblAlgn val="ctr"/>
        <c:lblOffset val="100"/>
        <c:noMultiLvlLbl val="0"/>
      </c:catAx>
      <c:valAx>
        <c:axId val="248414592"/>
        <c:scaling>
          <c:orientation val="minMax"/>
        </c:scaling>
        <c:delete val="0"/>
        <c:axPos val="l"/>
        <c:majorGridlines/>
        <c:numFmt formatCode="#,##0" sourceLinked="1"/>
        <c:majorTickMark val="out"/>
        <c:minorTickMark val="none"/>
        <c:tickLblPos val="nextTo"/>
        <c:txPr>
          <a:bodyPr/>
          <a:lstStyle/>
          <a:p>
            <a:pPr>
              <a:defRPr b="1"/>
            </a:pPr>
            <a:endParaRPr lang="tr-TR"/>
          </a:p>
        </c:txPr>
        <c:crossAx val="225270400"/>
        <c:crosses val="autoZero"/>
        <c:crossBetween val="between"/>
      </c:valAx>
    </c:plotArea>
    <c:plotVisOnly val="1"/>
    <c:dispBlanksAs val="gap"/>
    <c:showDLblsOverMax val="0"/>
  </c:chart>
  <c:spPr>
    <a:solidFill>
      <a:schemeClr val="accent3">
        <a:lumMod val="20000"/>
        <a:lumOff val="80000"/>
      </a:schemeClr>
    </a:solidFill>
    <a:scene3d>
      <a:camera prst="orthographicFront"/>
      <a:lightRig rig="threePt" dir="t"/>
    </a:scene3d>
    <a:sp3d>
      <a:bevelT/>
      <a:bevelB/>
    </a:sp3d>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tr-TR" baseline="0"/>
              <a:t>2018 Yılı Kategori Dağılımı</a:t>
            </a:r>
            <a:endParaRPr lang="tr-TR"/>
          </a:p>
        </c:rich>
      </c:tx>
      <c:overlay val="0"/>
    </c:title>
    <c:autoTitleDeleted val="0"/>
    <c:plotArea>
      <c:layout/>
      <c:pieChart>
        <c:varyColors val="1"/>
        <c:ser>
          <c:idx val="0"/>
          <c:order val="0"/>
          <c:dPt>
            <c:idx val="0"/>
            <c:bubble3D val="0"/>
            <c:explosion val="1"/>
          </c:dPt>
          <c:dLbls>
            <c:txPr>
              <a:bodyPr/>
              <a:lstStyle/>
              <a:p>
                <a:pPr>
                  <a:defRPr sz="1100" b="1"/>
                </a:pPr>
                <a:endParaRPr lang="tr-TR"/>
              </a:p>
            </c:txPr>
            <c:showLegendKey val="0"/>
            <c:showVal val="1"/>
            <c:showCatName val="0"/>
            <c:showSerName val="0"/>
            <c:showPercent val="0"/>
            <c:showBubbleSize val="0"/>
            <c:showLeaderLines val="1"/>
          </c:dLbls>
          <c:cat>
            <c:strRef>
              <c:f>Sayfa1!$C$3:$I$3</c:f>
              <c:strCache>
                <c:ptCount val="7"/>
                <c:pt idx="0">
                  <c:v>Yetişkin
(Araştırma-İnceleme)</c:v>
                </c:pt>
                <c:pt idx="1">
                  <c:v>Yetişkin Kurgu
(Edebiyat-Sanat)</c:v>
                </c:pt>
                <c:pt idx="2">
                  <c:v>Çocuk-Gençlik</c:v>
                </c:pt>
                <c:pt idx="3">
                  <c:v>Eğitim</c:v>
                </c:pt>
                <c:pt idx="4">
                  <c:v>Akademik</c:v>
                </c:pt>
                <c:pt idx="5">
                  <c:v>İnanç
</c:v>
                </c:pt>
                <c:pt idx="6">
                  <c:v>İthal
</c:v>
                </c:pt>
              </c:strCache>
            </c:strRef>
          </c:cat>
          <c:val>
            <c:numRef>
              <c:f>Sayfa1!$C$5:$I$5</c:f>
              <c:numCache>
                <c:formatCode>0.0%</c:formatCode>
                <c:ptCount val="7"/>
                <c:pt idx="0">
                  <c:v>0.18099999999999999</c:v>
                </c:pt>
                <c:pt idx="1">
                  <c:v>0.06</c:v>
                </c:pt>
                <c:pt idx="2">
                  <c:v>0.1</c:v>
                </c:pt>
                <c:pt idx="3">
                  <c:v>0.52400000000000002</c:v>
                </c:pt>
                <c:pt idx="4">
                  <c:v>1.0999999999999999E-2</c:v>
                </c:pt>
                <c:pt idx="5">
                  <c:v>0.108</c:v>
                </c:pt>
                <c:pt idx="6">
                  <c:v>1.4E-2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540462820633481"/>
          <c:y val="0.12872812436906925"/>
          <c:w val="0.34865911681358558"/>
          <c:h val="0.74254342822531794"/>
        </c:manualLayout>
      </c:layout>
      <c:overlay val="0"/>
      <c:txPr>
        <a:bodyPr/>
        <a:lstStyle/>
        <a:p>
          <a:pPr>
            <a:defRPr b="1"/>
          </a:pPr>
          <a:endParaRPr lang="tr-TR"/>
        </a:p>
      </c:txPr>
    </c:legend>
    <c:plotVisOnly val="1"/>
    <c:dispBlanksAs val="gap"/>
    <c:showDLblsOverMax val="0"/>
  </c:chart>
  <c:spPr>
    <a:pattFill prst="pct5">
      <a:fgClr>
        <a:schemeClr val="tx2">
          <a:lumMod val="40000"/>
          <a:lumOff val="60000"/>
        </a:schemeClr>
      </a:fgClr>
      <a:bgClr>
        <a:schemeClr val="bg1"/>
      </a:bgClr>
    </a:patt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tr-TR" baseline="0"/>
              <a:t> 2017 Yılı Kategori Dağılımı</a:t>
            </a:r>
            <a:endParaRPr lang="tr-TR"/>
          </a:p>
        </c:rich>
      </c:tx>
      <c:overlay val="0"/>
    </c:title>
    <c:autoTitleDeleted val="0"/>
    <c:plotArea>
      <c:layout/>
      <c:pieChart>
        <c:varyColors val="1"/>
        <c:ser>
          <c:idx val="0"/>
          <c:order val="0"/>
          <c:dPt>
            <c:idx val="0"/>
            <c:bubble3D val="0"/>
            <c:explosion val="1"/>
          </c:dPt>
          <c:dLbls>
            <c:txPr>
              <a:bodyPr/>
              <a:lstStyle/>
              <a:p>
                <a:pPr>
                  <a:defRPr sz="1100" b="1"/>
                </a:pPr>
                <a:endParaRPr lang="tr-TR"/>
              </a:p>
            </c:txPr>
            <c:showLegendKey val="0"/>
            <c:showVal val="1"/>
            <c:showCatName val="0"/>
            <c:showSerName val="0"/>
            <c:showPercent val="0"/>
            <c:showBubbleSize val="0"/>
            <c:showLeaderLines val="1"/>
          </c:dLbls>
          <c:cat>
            <c:strRef>
              <c:f>Sayfa1!$C$3:$I$3</c:f>
              <c:strCache>
                <c:ptCount val="7"/>
                <c:pt idx="0">
                  <c:v>Yetişkin
(Araştırma-İnceleme)</c:v>
                </c:pt>
                <c:pt idx="1">
                  <c:v>Yetişkin Kurgu
(Edebiyat-Sanat)</c:v>
                </c:pt>
                <c:pt idx="2">
                  <c:v>Çocuk-Gençlik</c:v>
                </c:pt>
                <c:pt idx="3">
                  <c:v>Eğitim</c:v>
                </c:pt>
                <c:pt idx="4">
                  <c:v>Akademik</c:v>
                </c:pt>
                <c:pt idx="5">
                  <c:v>İnanç
</c:v>
                </c:pt>
                <c:pt idx="6">
                  <c:v>İthal
</c:v>
                </c:pt>
              </c:strCache>
            </c:strRef>
          </c:cat>
          <c:val>
            <c:numRef>
              <c:f>Sayfa1!$C$5:$I$5</c:f>
              <c:numCache>
                <c:formatCode>0.0%</c:formatCode>
                <c:ptCount val="7"/>
                <c:pt idx="0">
                  <c:v>0.19</c:v>
                </c:pt>
                <c:pt idx="1">
                  <c:v>6.0999999999999999E-2</c:v>
                </c:pt>
                <c:pt idx="2">
                  <c:v>0.10299999999999999</c:v>
                </c:pt>
                <c:pt idx="3">
                  <c:v>0.51400000000000001</c:v>
                </c:pt>
                <c:pt idx="4">
                  <c:v>1.2E-2</c:v>
                </c:pt>
                <c:pt idx="5">
                  <c:v>0.104</c:v>
                </c:pt>
                <c:pt idx="6">
                  <c:v>1.6E-2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540462820633481"/>
          <c:y val="0.12872812436906925"/>
          <c:w val="0.34865911681358558"/>
          <c:h val="0.74254342822531794"/>
        </c:manualLayout>
      </c:layout>
      <c:overlay val="0"/>
      <c:txPr>
        <a:bodyPr/>
        <a:lstStyle/>
        <a:p>
          <a:pPr>
            <a:defRPr b="1"/>
          </a:pPr>
          <a:endParaRPr lang="tr-TR"/>
        </a:p>
      </c:txPr>
    </c:legend>
    <c:plotVisOnly val="1"/>
    <c:dispBlanksAs val="gap"/>
    <c:showDLblsOverMax val="0"/>
  </c:chart>
  <c:spPr>
    <a:pattFill prst="pct5">
      <a:fgClr>
        <a:schemeClr val="tx2">
          <a:lumMod val="40000"/>
          <a:lumOff val="60000"/>
        </a:schemeClr>
      </a:fgClr>
      <a:bgClr>
        <a:schemeClr val="bg1"/>
      </a:bgClr>
    </a:pattFill>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0.42546</cdr:x>
      <cdr:y>0.03248</cdr:y>
    </cdr:from>
    <cdr:to>
      <cdr:x>0.73541</cdr:x>
      <cdr:y>0.1255</cdr:y>
    </cdr:to>
    <cdr:sp macro="" textlink="">
      <cdr:nvSpPr>
        <cdr:cNvPr id="4" name="Metin kutusu 3"/>
        <cdr:cNvSpPr txBox="1"/>
      </cdr:nvSpPr>
      <cdr:spPr>
        <a:xfrm xmlns:a="http://schemas.openxmlformats.org/drawingml/2006/main">
          <a:off x="2537524" y="118439"/>
          <a:ext cx="1848610" cy="3391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800" b="1" baseline="0"/>
            <a:t> 2018 YILI</a:t>
          </a:r>
          <a:endParaRPr lang="tr-TR" sz="1600" b="1"/>
        </a:p>
      </cdr:txBody>
    </cdr:sp>
  </cdr:relSizeAnchor>
  <cdr:relSizeAnchor xmlns:cdr="http://schemas.openxmlformats.org/drawingml/2006/chartDrawing">
    <cdr:from>
      <cdr:x>0.93443</cdr:x>
      <cdr:y>0.39511</cdr:y>
    </cdr:from>
    <cdr:to>
      <cdr:x>1</cdr:x>
      <cdr:y>0.56893</cdr:y>
    </cdr:to>
    <cdr:sp macro="" textlink="">
      <cdr:nvSpPr>
        <cdr:cNvPr id="5" name="Metin kutusu 4"/>
        <cdr:cNvSpPr txBox="1"/>
      </cdr:nvSpPr>
      <cdr:spPr>
        <a:xfrm xmlns:a="http://schemas.openxmlformats.org/drawingml/2006/main" rot="16200000">
          <a:off x="5417240" y="1562151"/>
          <a:ext cx="633404" cy="3887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800" b="1"/>
            <a:t>ADET</a:t>
          </a: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392</Words>
  <Characters>2241</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İpek Yıldırım</dc:creator>
  <cp:lastModifiedBy>YAVUZ SAYKI</cp:lastModifiedBy>
  <cp:revision>2</cp:revision>
  <dcterms:created xsi:type="dcterms:W3CDTF">2020-11-11T14:19:00Z</dcterms:created>
  <dcterms:modified xsi:type="dcterms:W3CDTF">2020-11-11T14:19:00Z</dcterms:modified>
</cp:coreProperties>
</file>