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B69" w:rsidRPr="00DA5D27" w:rsidRDefault="000166A8" w:rsidP="00DA5D27">
      <w:pPr>
        <w:pStyle w:val="Balk1"/>
        <w:shd w:val="clear" w:color="auto" w:fill="FFFFFF"/>
        <w:spacing w:before="300" w:after="96"/>
        <w:rPr>
          <w:rFonts w:ascii="Arial" w:hAnsi="Arial" w:cs="Arial"/>
          <w:b w:val="0"/>
          <w:bCs w:val="0"/>
          <w:color w:val="891C02"/>
          <w:sz w:val="33"/>
          <w:szCs w:val="33"/>
        </w:rPr>
      </w:pPr>
      <w:r>
        <w:rPr>
          <w:rFonts w:ascii="Arial" w:hAnsi="Arial" w:cs="Arial"/>
          <w:b w:val="0"/>
          <w:bCs w:val="0"/>
          <w:color w:val="891C02"/>
          <w:sz w:val="33"/>
          <w:szCs w:val="33"/>
        </w:rPr>
        <w:t>2019: Yeniden Bir Rekor Yılı</w:t>
      </w:r>
    </w:p>
    <w:p w:rsidR="003E0DD5" w:rsidRDefault="00D51727" w:rsidP="00E45076">
      <w:pPr>
        <w:jc w:val="both"/>
        <w:rPr>
          <w:rFonts w:ascii="Verdana" w:eastAsia="Times New Roman" w:hAnsi="Verdana" w:cs="Times New Roman"/>
          <w:sz w:val="18"/>
          <w:szCs w:val="18"/>
        </w:rPr>
      </w:pPr>
      <w:r>
        <w:rPr>
          <w:rFonts w:ascii="Verdana" w:eastAsia="Times New Roman" w:hAnsi="Verdana" w:cs="Times New Roman"/>
          <w:sz w:val="18"/>
          <w:szCs w:val="18"/>
        </w:rPr>
        <w:t>Bir yılı daha geride bıraktık. Federasyonumuzun faaliyetlerine başladığı ve sektörün kitap üretim raporlarını düzenlediği 2011 yılından itibaren kitap üretiminde yaşanan büyüme</w:t>
      </w:r>
      <w:r w:rsidR="00D55792">
        <w:rPr>
          <w:rFonts w:ascii="Verdana" w:eastAsia="Times New Roman" w:hAnsi="Verdana" w:cs="Times New Roman"/>
          <w:sz w:val="18"/>
          <w:szCs w:val="18"/>
        </w:rPr>
        <w:t>,</w:t>
      </w:r>
      <w:r>
        <w:rPr>
          <w:rFonts w:ascii="Verdana" w:eastAsia="Times New Roman" w:hAnsi="Verdana" w:cs="Times New Roman"/>
          <w:sz w:val="18"/>
          <w:szCs w:val="18"/>
        </w:rPr>
        <w:t xml:space="preserve"> bu yıl da </w:t>
      </w:r>
      <w:r w:rsidR="00D55792">
        <w:rPr>
          <w:rFonts w:ascii="Verdana" w:eastAsia="Times New Roman" w:hAnsi="Verdana" w:cs="Times New Roman"/>
          <w:sz w:val="18"/>
          <w:szCs w:val="18"/>
        </w:rPr>
        <w:t xml:space="preserve">geçmiş yıllardaki görünümünü değiştirmeyerek yeni bir rekora imza attı. 2018 yılı Ağustos ayında başlayan ekonomik dalgalanma bu yılın mayıs ayına kadar devam etmiş ve sektörde kitap üretiminde küçülme ile yüzleşmiştik. Zaman zaman </w:t>
      </w:r>
      <w:r w:rsidR="006F01AD">
        <w:rPr>
          <w:rFonts w:ascii="Verdana" w:eastAsia="Times New Roman" w:hAnsi="Verdana" w:cs="Times New Roman"/>
          <w:sz w:val="18"/>
          <w:szCs w:val="18"/>
        </w:rPr>
        <w:t>ekonomik gidişatın etkisi ile</w:t>
      </w:r>
      <w:r w:rsidR="00D55792">
        <w:rPr>
          <w:rFonts w:ascii="Verdana" w:eastAsia="Times New Roman" w:hAnsi="Verdana" w:cs="Times New Roman"/>
          <w:sz w:val="18"/>
          <w:szCs w:val="18"/>
        </w:rPr>
        <w:t xml:space="preserve"> bir önceki yıla oranla</w:t>
      </w:r>
      <w:r w:rsidR="006F01AD">
        <w:rPr>
          <w:rFonts w:ascii="Verdana" w:eastAsia="Times New Roman" w:hAnsi="Verdana" w:cs="Times New Roman"/>
          <w:sz w:val="18"/>
          <w:szCs w:val="18"/>
        </w:rPr>
        <w:t xml:space="preserve"> kitap üretiminde küçülme ile karşılaşır mıyız</w:t>
      </w:r>
      <w:r w:rsidR="00D55792">
        <w:rPr>
          <w:rFonts w:ascii="Verdana" w:eastAsia="Times New Roman" w:hAnsi="Verdana" w:cs="Times New Roman"/>
          <w:sz w:val="18"/>
          <w:szCs w:val="18"/>
        </w:rPr>
        <w:t xml:space="preserve"> soru</w:t>
      </w:r>
      <w:r w:rsidR="00F53714">
        <w:rPr>
          <w:rFonts w:ascii="Verdana" w:eastAsia="Times New Roman" w:hAnsi="Verdana" w:cs="Times New Roman"/>
          <w:sz w:val="18"/>
          <w:szCs w:val="18"/>
        </w:rPr>
        <w:t>su zihinlerimizi meşgul etti, an</w:t>
      </w:r>
      <w:r w:rsidR="00D55792">
        <w:rPr>
          <w:rFonts w:ascii="Verdana" w:eastAsia="Times New Roman" w:hAnsi="Verdana" w:cs="Times New Roman"/>
          <w:sz w:val="18"/>
          <w:szCs w:val="18"/>
        </w:rPr>
        <w:t>cak en kötü rakamlar ile yüzleştiğimiz dönemde bile sektörümüze ve ülkemize olan güvenimizi hep dile getirdik. 2019 Mayıs ve Haziran aylarında gelen düşük seviyeli büyüme rakamları ümitlerimiz</w:t>
      </w:r>
      <w:r w:rsidR="00F53714">
        <w:rPr>
          <w:rFonts w:ascii="Verdana" w:eastAsia="Times New Roman" w:hAnsi="Verdana" w:cs="Times New Roman"/>
          <w:sz w:val="18"/>
          <w:szCs w:val="18"/>
        </w:rPr>
        <w:t>i</w:t>
      </w:r>
      <w:r w:rsidR="00D55792">
        <w:rPr>
          <w:rFonts w:ascii="Verdana" w:eastAsia="Times New Roman" w:hAnsi="Verdana" w:cs="Times New Roman"/>
          <w:sz w:val="18"/>
          <w:szCs w:val="18"/>
        </w:rPr>
        <w:t xml:space="preserve"> diri</w:t>
      </w:r>
      <w:r w:rsidR="00F53714">
        <w:rPr>
          <w:rFonts w:ascii="Verdana" w:eastAsia="Times New Roman" w:hAnsi="Verdana" w:cs="Times New Roman"/>
          <w:sz w:val="18"/>
          <w:szCs w:val="18"/>
        </w:rPr>
        <w:t xml:space="preserve"> tuttu. Devamında t</w:t>
      </w:r>
      <w:r w:rsidR="003E0DD5">
        <w:rPr>
          <w:rFonts w:ascii="Verdana" w:eastAsia="Times New Roman" w:hAnsi="Verdana" w:cs="Times New Roman"/>
          <w:sz w:val="18"/>
          <w:szCs w:val="18"/>
        </w:rPr>
        <w:t xml:space="preserve">emmuz ayındaki tarihi rekor olarak kayıtlara geçen </w:t>
      </w:r>
      <w:r w:rsidR="003E0DD5" w:rsidRPr="00C247AF">
        <w:rPr>
          <w:rFonts w:ascii="Verdana" w:eastAsia="Times New Roman" w:hAnsi="Verdana" w:cs="Times New Roman"/>
          <w:b/>
          <w:sz w:val="18"/>
          <w:szCs w:val="18"/>
        </w:rPr>
        <w:t>55.121.271</w:t>
      </w:r>
      <w:r w:rsidR="003E0DD5">
        <w:rPr>
          <w:rFonts w:ascii="Verdana" w:eastAsia="Times New Roman" w:hAnsi="Verdana" w:cs="Times New Roman"/>
          <w:sz w:val="18"/>
          <w:szCs w:val="18"/>
        </w:rPr>
        <w:t xml:space="preserve"> adetlik kitap üretimi sektörün yeni bir başarı </w:t>
      </w:r>
      <w:proofErr w:type="gramStart"/>
      <w:r w:rsidR="003E0DD5">
        <w:rPr>
          <w:rFonts w:ascii="Verdana" w:eastAsia="Times New Roman" w:hAnsi="Verdana" w:cs="Times New Roman"/>
          <w:sz w:val="18"/>
          <w:szCs w:val="18"/>
        </w:rPr>
        <w:t>hikayesi</w:t>
      </w:r>
      <w:proofErr w:type="gramEnd"/>
      <w:r w:rsidR="003E0DD5">
        <w:rPr>
          <w:rFonts w:ascii="Verdana" w:eastAsia="Times New Roman" w:hAnsi="Verdana" w:cs="Times New Roman"/>
          <w:sz w:val="18"/>
          <w:szCs w:val="18"/>
        </w:rPr>
        <w:t xml:space="preserve"> yazacağına dair ümitlerimizi yeşertti. Ağustos ayında bu aya yönelik genel performans eğilimleri ile sonuçlanan bir ay oldu. Eylül ayı ise yeni bir tarihi rekor</w:t>
      </w:r>
      <w:r w:rsidR="00F53714">
        <w:rPr>
          <w:rFonts w:ascii="Verdana" w:eastAsia="Times New Roman" w:hAnsi="Verdana" w:cs="Times New Roman"/>
          <w:sz w:val="18"/>
          <w:szCs w:val="18"/>
        </w:rPr>
        <w:t xml:space="preserve"> ile kapandı. 2019 yılı içinde E</w:t>
      </w:r>
      <w:r w:rsidR="003E0DD5">
        <w:rPr>
          <w:rFonts w:ascii="Verdana" w:eastAsia="Times New Roman" w:hAnsi="Verdana" w:cs="Times New Roman"/>
          <w:sz w:val="18"/>
          <w:szCs w:val="18"/>
        </w:rPr>
        <w:t xml:space="preserve">ylül ayındaki </w:t>
      </w:r>
      <w:r w:rsidR="003E0DD5" w:rsidRPr="00C247AF">
        <w:rPr>
          <w:rFonts w:ascii="Verdana" w:eastAsia="Times New Roman" w:hAnsi="Verdana" w:cs="Times New Roman"/>
          <w:b/>
          <w:sz w:val="18"/>
          <w:szCs w:val="18"/>
        </w:rPr>
        <w:t>56.458.626</w:t>
      </w:r>
      <w:r w:rsidR="003E0DD5">
        <w:rPr>
          <w:rFonts w:ascii="Verdana" w:eastAsia="Times New Roman" w:hAnsi="Verdana" w:cs="Times New Roman"/>
          <w:sz w:val="18"/>
          <w:szCs w:val="18"/>
        </w:rPr>
        <w:t xml:space="preserve"> adet kitap üretimi ile aynı yıl içinde iki kez rekor seviyesini görmüştük. Ayrıca bir yıl içinde yine ilk kez iki defa elli milyon bandını aşmış oluyorduk ve 2018 yılına göre pozitif pozisyona geçmiş oluyorduk. Ekim ve kasım aylarında elde ettiğimiz sınırlı artışlar ile pozitif konumumuzu devam ettirdik ve yılın son ayına ulaştık. Gelinen nokta itibariyle 2019 yılını yeni bir büyüme yılı olarak tamamlayacağımız </w:t>
      </w:r>
      <w:r w:rsidR="00F53714">
        <w:rPr>
          <w:rFonts w:ascii="Verdana" w:eastAsia="Times New Roman" w:hAnsi="Verdana" w:cs="Times New Roman"/>
          <w:sz w:val="18"/>
          <w:szCs w:val="18"/>
        </w:rPr>
        <w:t>görüntüsü ortaya çıkmıştı, a</w:t>
      </w:r>
      <w:r w:rsidR="00C247AF">
        <w:rPr>
          <w:rFonts w:ascii="Verdana" w:eastAsia="Times New Roman" w:hAnsi="Verdana" w:cs="Times New Roman"/>
          <w:sz w:val="18"/>
          <w:szCs w:val="18"/>
        </w:rPr>
        <w:t xml:space="preserve">ncak aralık ayındaki performans büyümenin hangi seviyede gerçekleşeceğini belirleyecekti. </w:t>
      </w:r>
      <w:r w:rsidR="003E0DD5">
        <w:rPr>
          <w:rFonts w:ascii="Verdana" w:eastAsia="Times New Roman" w:hAnsi="Verdana" w:cs="Times New Roman"/>
          <w:sz w:val="18"/>
          <w:szCs w:val="18"/>
        </w:rPr>
        <w:t xml:space="preserve"> </w:t>
      </w:r>
    </w:p>
    <w:p w:rsidR="0023483D" w:rsidRDefault="00C247AF" w:rsidP="00E45076">
      <w:pPr>
        <w:jc w:val="both"/>
        <w:rPr>
          <w:rFonts w:ascii="Verdana" w:eastAsia="Times New Roman" w:hAnsi="Verdana" w:cs="Times New Roman"/>
          <w:sz w:val="18"/>
          <w:szCs w:val="18"/>
        </w:rPr>
      </w:pPr>
      <w:r>
        <w:rPr>
          <w:rFonts w:ascii="Verdana" w:eastAsia="Times New Roman" w:hAnsi="Verdana" w:cs="Times New Roman"/>
          <w:sz w:val="18"/>
          <w:szCs w:val="18"/>
        </w:rPr>
        <w:t xml:space="preserve">2019 Aralık ayına da beklentilerimize paralel bir </w:t>
      </w:r>
      <w:proofErr w:type="gramStart"/>
      <w:r>
        <w:rPr>
          <w:rFonts w:ascii="Verdana" w:eastAsia="Times New Roman" w:hAnsi="Verdana" w:cs="Times New Roman"/>
          <w:sz w:val="18"/>
          <w:szCs w:val="18"/>
        </w:rPr>
        <w:t>bandrol</w:t>
      </w:r>
      <w:proofErr w:type="gramEnd"/>
      <w:r>
        <w:rPr>
          <w:rFonts w:ascii="Verdana" w:eastAsia="Times New Roman" w:hAnsi="Verdana" w:cs="Times New Roman"/>
          <w:sz w:val="18"/>
          <w:szCs w:val="18"/>
        </w:rPr>
        <w:t xml:space="preserve"> talebi ile başladık. Ayın yarısına geldiğimizde artık 2019’un yeni bir büyüme yılı olacağından emin olmuştuk</w:t>
      </w:r>
      <w:r w:rsidR="00F53714">
        <w:rPr>
          <w:rFonts w:ascii="Verdana" w:eastAsia="Times New Roman" w:hAnsi="Verdana" w:cs="Times New Roman"/>
          <w:sz w:val="18"/>
          <w:szCs w:val="18"/>
        </w:rPr>
        <w:t xml:space="preserve">, ancak </w:t>
      </w:r>
      <w:r>
        <w:rPr>
          <w:rFonts w:ascii="Verdana" w:eastAsia="Times New Roman" w:hAnsi="Verdana" w:cs="Times New Roman"/>
          <w:sz w:val="18"/>
          <w:szCs w:val="18"/>
        </w:rPr>
        <w:t xml:space="preserve">bunun oranını ayın kalan günlerindeki </w:t>
      </w:r>
      <w:proofErr w:type="gramStart"/>
      <w:r>
        <w:rPr>
          <w:rFonts w:ascii="Verdana" w:eastAsia="Times New Roman" w:hAnsi="Verdana" w:cs="Times New Roman"/>
          <w:sz w:val="18"/>
          <w:szCs w:val="18"/>
        </w:rPr>
        <w:t>bandrol</w:t>
      </w:r>
      <w:proofErr w:type="gramEnd"/>
      <w:r>
        <w:rPr>
          <w:rFonts w:ascii="Verdana" w:eastAsia="Times New Roman" w:hAnsi="Verdana" w:cs="Times New Roman"/>
          <w:sz w:val="18"/>
          <w:szCs w:val="18"/>
        </w:rPr>
        <w:t xml:space="preserve"> </w:t>
      </w:r>
      <w:r w:rsidR="00F53714">
        <w:rPr>
          <w:rFonts w:ascii="Verdana" w:eastAsia="Times New Roman" w:hAnsi="Verdana" w:cs="Times New Roman"/>
          <w:sz w:val="18"/>
          <w:szCs w:val="18"/>
        </w:rPr>
        <w:t>talebi belirleyecekti. Doğrusu a</w:t>
      </w:r>
      <w:r>
        <w:rPr>
          <w:rFonts w:ascii="Verdana" w:eastAsia="Times New Roman" w:hAnsi="Verdana" w:cs="Times New Roman"/>
          <w:sz w:val="18"/>
          <w:szCs w:val="18"/>
        </w:rPr>
        <w:t xml:space="preserve">ralık ayının ikinci yarısında </w:t>
      </w:r>
      <w:proofErr w:type="gramStart"/>
      <w:r>
        <w:rPr>
          <w:rFonts w:ascii="Verdana" w:eastAsia="Times New Roman" w:hAnsi="Verdana" w:cs="Times New Roman"/>
          <w:sz w:val="18"/>
          <w:szCs w:val="18"/>
        </w:rPr>
        <w:t>bandrol</w:t>
      </w:r>
      <w:proofErr w:type="gramEnd"/>
      <w:r>
        <w:rPr>
          <w:rFonts w:ascii="Verdana" w:eastAsia="Times New Roman" w:hAnsi="Verdana" w:cs="Times New Roman"/>
          <w:sz w:val="18"/>
          <w:szCs w:val="18"/>
        </w:rPr>
        <w:t xml:space="preserve"> talebinin daha önceki yıllarda olduğu gibi bir miktar yavaşlayarak süreceğini düşünürken beklentimizin tam tersine bandrol talebi ayın son gününe kadar yükselerek devam etti. Aralık ayı yayıncılarımızın </w:t>
      </w:r>
      <w:r w:rsidRPr="00C247AF">
        <w:rPr>
          <w:rFonts w:ascii="Verdana" w:eastAsia="Times New Roman" w:hAnsi="Verdana" w:cs="Times New Roman"/>
          <w:b/>
          <w:sz w:val="18"/>
          <w:szCs w:val="18"/>
        </w:rPr>
        <w:t>31.578.531</w:t>
      </w:r>
      <w:r>
        <w:rPr>
          <w:rFonts w:ascii="Verdana" w:eastAsia="Times New Roman" w:hAnsi="Verdana" w:cs="Times New Roman"/>
          <w:sz w:val="18"/>
          <w:szCs w:val="18"/>
        </w:rPr>
        <w:t xml:space="preserve"> adet </w:t>
      </w:r>
      <w:proofErr w:type="gramStart"/>
      <w:r>
        <w:rPr>
          <w:rFonts w:ascii="Verdana" w:eastAsia="Times New Roman" w:hAnsi="Verdana" w:cs="Times New Roman"/>
          <w:sz w:val="18"/>
          <w:szCs w:val="18"/>
        </w:rPr>
        <w:t>bandrol</w:t>
      </w:r>
      <w:proofErr w:type="gramEnd"/>
      <w:r>
        <w:rPr>
          <w:rFonts w:ascii="Verdana" w:eastAsia="Times New Roman" w:hAnsi="Verdana" w:cs="Times New Roman"/>
          <w:sz w:val="18"/>
          <w:szCs w:val="18"/>
        </w:rPr>
        <w:t xml:space="preserve"> talebi ile tamamlandı. Ulaşılan </w:t>
      </w:r>
      <w:r w:rsidR="00F53714">
        <w:rPr>
          <w:rFonts w:ascii="Verdana" w:eastAsia="Times New Roman" w:hAnsi="Verdana" w:cs="Times New Roman"/>
          <w:sz w:val="18"/>
          <w:szCs w:val="18"/>
        </w:rPr>
        <w:t>bu rakam en yüksek a</w:t>
      </w:r>
      <w:r>
        <w:rPr>
          <w:rFonts w:ascii="Verdana" w:eastAsia="Times New Roman" w:hAnsi="Verdana" w:cs="Times New Roman"/>
          <w:sz w:val="18"/>
          <w:szCs w:val="18"/>
        </w:rPr>
        <w:t>ralık ayı rakamları olarak k</w:t>
      </w:r>
      <w:r w:rsidR="00F53714">
        <w:rPr>
          <w:rFonts w:ascii="Verdana" w:eastAsia="Times New Roman" w:hAnsi="Verdana" w:cs="Times New Roman"/>
          <w:sz w:val="18"/>
          <w:szCs w:val="18"/>
        </w:rPr>
        <w:t>ayıtlara geçti. Ayrıca ilk kez a</w:t>
      </w:r>
      <w:r>
        <w:rPr>
          <w:rFonts w:ascii="Verdana" w:eastAsia="Times New Roman" w:hAnsi="Verdana" w:cs="Times New Roman"/>
          <w:sz w:val="18"/>
          <w:szCs w:val="18"/>
        </w:rPr>
        <w:t>ralık ayında otuz milyon ba</w:t>
      </w:r>
      <w:r w:rsidR="00F53714">
        <w:rPr>
          <w:rFonts w:ascii="Verdana" w:eastAsia="Times New Roman" w:hAnsi="Verdana" w:cs="Times New Roman"/>
          <w:sz w:val="18"/>
          <w:szCs w:val="18"/>
        </w:rPr>
        <w:t>ndını aşmış olduk. Geçen yılın a</w:t>
      </w:r>
      <w:r>
        <w:rPr>
          <w:rFonts w:ascii="Verdana" w:eastAsia="Times New Roman" w:hAnsi="Verdana" w:cs="Times New Roman"/>
          <w:sz w:val="18"/>
          <w:szCs w:val="18"/>
        </w:rPr>
        <w:t xml:space="preserve">ralık ayındaki </w:t>
      </w:r>
      <w:proofErr w:type="gramStart"/>
      <w:r>
        <w:rPr>
          <w:rFonts w:ascii="Verdana" w:eastAsia="Times New Roman" w:hAnsi="Verdana" w:cs="Times New Roman"/>
          <w:sz w:val="18"/>
          <w:szCs w:val="18"/>
        </w:rPr>
        <w:t>bandrol</w:t>
      </w:r>
      <w:proofErr w:type="gramEnd"/>
      <w:r>
        <w:rPr>
          <w:rFonts w:ascii="Verdana" w:eastAsia="Times New Roman" w:hAnsi="Verdana" w:cs="Times New Roman"/>
          <w:sz w:val="18"/>
          <w:szCs w:val="18"/>
        </w:rPr>
        <w:t xml:space="preserve"> talebi </w:t>
      </w:r>
      <w:r w:rsidRPr="00C247AF">
        <w:rPr>
          <w:rFonts w:ascii="Verdana" w:eastAsia="Times New Roman" w:hAnsi="Verdana" w:cs="Times New Roman"/>
          <w:b/>
          <w:sz w:val="18"/>
          <w:szCs w:val="18"/>
        </w:rPr>
        <w:t>22.714.630</w:t>
      </w:r>
      <w:r>
        <w:rPr>
          <w:rFonts w:ascii="Verdana" w:eastAsia="Times New Roman" w:hAnsi="Verdana" w:cs="Times New Roman"/>
          <w:sz w:val="18"/>
          <w:szCs w:val="18"/>
        </w:rPr>
        <w:t xml:space="preserve"> adet idi. Bu durumda </w:t>
      </w:r>
      <w:r w:rsidR="0023483D">
        <w:rPr>
          <w:rFonts w:ascii="Verdana" w:eastAsia="Times New Roman" w:hAnsi="Verdana" w:cs="Times New Roman"/>
          <w:sz w:val="18"/>
          <w:szCs w:val="18"/>
        </w:rPr>
        <w:t xml:space="preserve">geçen yıla oranla </w:t>
      </w:r>
      <w:r w:rsidR="0023483D" w:rsidRPr="0023483D">
        <w:rPr>
          <w:rFonts w:ascii="Verdana" w:eastAsia="Times New Roman" w:hAnsi="Verdana" w:cs="Times New Roman"/>
          <w:b/>
          <w:sz w:val="18"/>
          <w:szCs w:val="18"/>
        </w:rPr>
        <w:t>%39</w:t>
      </w:r>
      <w:r w:rsidR="0023483D">
        <w:rPr>
          <w:rFonts w:ascii="Verdana" w:eastAsia="Times New Roman" w:hAnsi="Verdana" w:cs="Times New Roman"/>
          <w:sz w:val="18"/>
          <w:szCs w:val="18"/>
        </w:rPr>
        <w:t xml:space="preserve"> oranında bir büyüme gerçekleşmiş oldu.</w:t>
      </w:r>
    </w:p>
    <w:p w:rsidR="0002656E" w:rsidRDefault="0002656E" w:rsidP="00E45076">
      <w:pPr>
        <w:jc w:val="both"/>
        <w:rPr>
          <w:rFonts w:ascii="Verdana" w:eastAsia="Times New Roman" w:hAnsi="Verdana" w:cs="Times New Roman"/>
          <w:sz w:val="18"/>
          <w:szCs w:val="18"/>
        </w:rPr>
      </w:pPr>
      <w:r>
        <w:rPr>
          <w:noProof/>
          <w:lang w:eastAsia="tr-TR"/>
        </w:rPr>
        <w:drawing>
          <wp:inline distT="0" distB="0" distL="0" distR="0" wp14:anchorId="14C17A09" wp14:editId="310BEB46">
            <wp:extent cx="5760720" cy="3564756"/>
            <wp:effectExtent l="57150" t="57150" r="49530" b="55245"/>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02656E" w:rsidRDefault="0002656E" w:rsidP="00E45076">
      <w:pPr>
        <w:jc w:val="both"/>
        <w:rPr>
          <w:rFonts w:ascii="Verdana" w:eastAsia="Times New Roman" w:hAnsi="Verdana" w:cs="Times New Roman"/>
          <w:sz w:val="18"/>
          <w:szCs w:val="18"/>
        </w:rPr>
      </w:pPr>
    </w:p>
    <w:p w:rsidR="0002656E" w:rsidRDefault="0023483D" w:rsidP="00E45076">
      <w:pPr>
        <w:jc w:val="both"/>
        <w:rPr>
          <w:rFonts w:ascii="Verdana" w:eastAsia="Times New Roman" w:hAnsi="Verdana" w:cs="Times New Roman"/>
          <w:sz w:val="18"/>
          <w:szCs w:val="18"/>
        </w:rPr>
      </w:pPr>
      <w:r>
        <w:rPr>
          <w:rFonts w:ascii="Verdana" w:eastAsia="Times New Roman" w:hAnsi="Verdana" w:cs="Times New Roman"/>
          <w:sz w:val="18"/>
          <w:szCs w:val="18"/>
        </w:rPr>
        <w:t>Aralık ayı ile 2019 yılını da geride bırakmış olduk. Yukarıda yılın hikayesini ifade ettiğimiz 2019 yılında yayıncılarımız</w:t>
      </w:r>
      <w:r w:rsidR="007B197A">
        <w:rPr>
          <w:rFonts w:ascii="Verdana" w:eastAsia="Times New Roman" w:hAnsi="Verdana" w:cs="Times New Roman"/>
          <w:sz w:val="18"/>
          <w:szCs w:val="18"/>
        </w:rPr>
        <w:t>ın</w:t>
      </w:r>
      <w:r>
        <w:rPr>
          <w:rFonts w:ascii="Verdana" w:eastAsia="Times New Roman" w:hAnsi="Verdana" w:cs="Times New Roman"/>
          <w:sz w:val="18"/>
          <w:szCs w:val="18"/>
        </w:rPr>
        <w:t xml:space="preserve"> toplam</w:t>
      </w:r>
      <w:r w:rsidRPr="0023483D">
        <w:t xml:space="preserve"> </w:t>
      </w:r>
      <w:r w:rsidRPr="0023483D">
        <w:rPr>
          <w:b/>
        </w:rPr>
        <w:t>423</w:t>
      </w:r>
      <w:r w:rsidRPr="0023483D">
        <w:rPr>
          <w:rFonts w:ascii="Verdana" w:eastAsia="Times New Roman" w:hAnsi="Verdana" w:cs="Times New Roman"/>
          <w:b/>
          <w:sz w:val="18"/>
          <w:szCs w:val="18"/>
        </w:rPr>
        <w:t>.602.828</w:t>
      </w:r>
      <w:r w:rsidR="007B197A">
        <w:rPr>
          <w:rFonts w:ascii="Verdana" w:eastAsia="Times New Roman" w:hAnsi="Verdana" w:cs="Times New Roman"/>
          <w:sz w:val="18"/>
          <w:szCs w:val="18"/>
        </w:rPr>
        <w:t xml:space="preserve"> adet </w:t>
      </w:r>
      <w:proofErr w:type="gramStart"/>
      <w:r w:rsidR="007B197A">
        <w:rPr>
          <w:rFonts w:ascii="Verdana" w:eastAsia="Times New Roman" w:hAnsi="Verdana" w:cs="Times New Roman"/>
          <w:sz w:val="18"/>
          <w:szCs w:val="18"/>
        </w:rPr>
        <w:t>bandrol</w:t>
      </w:r>
      <w:proofErr w:type="gramEnd"/>
      <w:r w:rsidR="007B197A">
        <w:rPr>
          <w:rFonts w:ascii="Verdana" w:eastAsia="Times New Roman" w:hAnsi="Verdana" w:cs="Times New Roman"/>
          <w:sz w:val="18"/>
          <w:szCs w:val="18"/>
        </w:rPr>
        <w:t xml:space="preserve"> talebi federasyonumuzca</w:t>
      </w:r>
      <w:r>
        <w:rPr>
          <w:rFonts w:ascii="Verdana" w:eastAsia="Times New Roman" w:hAnsi="Verdana" w:cs="Times New Roman"/>
          <w:sz w:val="18"/>
          <w:szCs w:val="18"/>
        </w:rPr>
        <w:t xml:space="preserve"> </w:t>
      </w:r>
      <w:r w:rsidR="007B197A">
        <w:rPr>
          <w:rFonts w:ascii="Verdana" w:eastAsia="Times New Roman" w:hAnsi="Verdana" w:cs="Times New Roman"/>
          <w:sz w:val="18"/>
          <w:szCs w:val="18"/>
        </w:rPr>
        <w:t>karşılanmıştır</w:t>
      </w:r>
      <w:r>
        <w:rPr>
          <w:rFonts w:ascii="Verdana" w:eastAsia="Times New Roman" w:hAnsi="Verdana" w:cs="Times New Roman"/>
          <w:sz w:val="18"/>
          <w:szCs w:val="18"/>
        </w:rPr>
        <w:t xml:space="preserve">. 2018 yılındaki rakam ise </w:t>
      </w:r>
      <w:r w:rsidRPr="0023483D">
        <w:rPr>
          <w:rFonts w:ascii="Verdana" w:eastAsia="Times New Roman" w:hAnsi="Verdana" w:cs="Times New Roman"/>
          <w:b/>
          <w:sz w:val="18"/>
          <w:szCs w:val="18"/>
        </w:rPr>
        <w:t>410.641.305</w:t>
      </w:r>
      <w:r>
        <w:rPr>
          <w:rFonts w:ascii="Verdana" w:eastAsia="Times New Roman" w:hAnsi="Verdana" w:cs="Times New Roman"/>
          <w:b/>
          <w:sz w:val="18"/>
          <w:szCs w:val="18"/>
        </w:rPr>
        <w:t xml:space="preserve"> </w:t>
      </w:r>
      <w:r w:rsidRPr="0023483D">
        <w:rPr>
          <w:rFonts w:ascii="Verdana" w:eastAsia="Times New Roman" w:hAnsi="Verdana" w:cs="Times New Roman"/>
          <w:sz w:val="18"/>
          <w:szCs w:val="18"/>
        </w:rPr>
        <w:t>adet</w:t>
      </w:r>
      <w:r>
        <w:rPr>
          <w:rFonts w:ascii="Verdana" w:eastAsia="Times New Roman" w:hAnsi="Verdana" w:cs="Times New Roman"/>
          <w:b/>
          <w:sz w:val="18"/>
          <w:szCs w:val="18"/>
        </w:rPr>
        <w:t xml:space="preserve"> </w:t>
      </w:r>
      <w:r>
        <w:rPr>
          <w:rFonts w:ascii="Verdana" w:eastAsia="Times New Roman" w:hAnsi="Verdana" w:cs="Times New Roman"/>
          <w:sz w:val="18"/>
          <w:szCs w:val="18"/>
        </w:rPr>
        <w:t>olarak kayıtlara geçmişti. Ülke ekonomisinin yılı çok düşük seviyede bir bü</w:t>
      </w:r>
      <w:r w:rsidR="007B197A">
        <w:rPr>
          <w:rFonts w:ascii="Verdana" w:eastAsia="Times New Roman" w:hAnsi="Verdana" w:cs="Times New Roman"/>
          <w:sz w:val="18"/>
          <w:szCs w:val="18"/>
        </w:rPr>
        <w:t>yüme ile kapatacağı beklentisini</w:t>
      </w:r>
      <w:r>
        <w:rPr>
          <w:rFonts w:ascii="Verdana" w:eastAsia="Times New Roman" w:hAnsi="Verdana" w:cs="Times New Roman"/>
          <w:sz w:val="18"/>
          <w:szCs w:val="18"/>
        </w:rPr>
        <w:t xml:space="preserve"> dikkate alırsak</w:t>
      </w:r>
      <w:r w:rsidR="007B197A">
        <w:rPr>
          <w:rFonts w:ascii="Verdana" w:eastAsia="Times New Roman" w:hAnsi="Verdana" w:cs="Times New Roman"/>
          <w:sz w:val="18"/>
          <w:szCs w:val="18"/>
        </w:rPr>
        <w:t>,</w:t>
      </w:r>
      <w:r>
        <w:rPr>
          <w:rFonts w:ascii="Verdana" w:eastAsia="Times New Roman" w:hAnsi="Verdana" w:cs="Times New Roman"/>
          <w:sz w:val="18"/>
          <w:szCs w:val="18"/>
        </w:rPr>
        <w:t xml:space="preserve"> yayıncılık sektörü kitap üretiminde bir önceki yıla oranla </w:t>
      </w:r>
      <w:r w:rsidRPr="0023483D">
        <w:rPr>
          <w:rFonts w:ascii="Verdana" w:eastAsia="Times New Roman" w:hAnsi="Verdana" w:cs="Times New Roman"/>
          <w:b/>
          <w:sz w:val="18"/>
          <w:szCs w:val="18"/>
        </w:rPr>
        <w:t>%3,16</w:t>
      </w:r>
      <w:r>
        <w:rPr>
          <w:rFonts w:ascii="Verdana" w:eastAsia="Times New Roman" w:hAnsi="Verdana" w:cs="Times New Roman"/>
          <w:b/>
          <w:sz w:val="18"/>
          <w:szCs w:val="18"/>
        </w:rPr>
        <w:t xml:space="preserve"> </w:t>
      </w:r>
      <w:r w:rsidRPr="0023483D">
        <w:rPr>
          <w:rFonts w:ascii="Verdana" w:eastAsia="Times New Roman" w:hAnsi="Verdana" w:cs="Times New Roman"/>
          <w:sz w:val="18"/>
          <w:szCs w:val="18"/>
        </w:rPr>
        <w:t>bir büyüme ile ülke ekonomisine önemli katkı sunmuştur.</w:t>
      </w:r>
      <w:r>
        <w:rPr>
          <w:rFonts w:ascii="Verdana" w:eastAsia="Times New Roman" w:hAnsi="Verdana" w:cs="Times New Roman"/>
          <w:sz w:val="18"/>
          <w:szCs w:val="18"/>
        </w:rPr>
        <w:t xml:space="preserve"> </w:t>
      </w:r>
    </w:p>
    <w:p w:rsidR="0023483D" w:rsidRDefault="0002656E" w:rsidP="00E45076">
      <w:pPr>
        <w:jc w:val="both"/>
        <w:rPr>
          <w:rFonts w:ascii="Verdana" w:eastAsia="Times New Roman" w:hAnsi="Verdana" w:cs="Times New Roman"/>
          <w:sz w:val="18"/>
          <w:szCs w:val="18"/>
        </w:rPr>
      </w:pPr>
      <w:r>
        <w:rPr>
          <w:noProof/>
          <w:lang w:eastAsia="tr-TR"/>
        </w:rPr>
        <w:drawing>
          <wp:inline distT="0" distB="0" distL="0" distR="0" wp14:anchorId="212513AE" wp14:editId="4EE8E666">
            <wp:extent cx="5760720" cy="3564756"/>
            <wp:effectExtent l="57150" t="57150" r="49530" b="5524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bookmarkStart w:id="0" w:name="_GoBack"/>
      <w:bookmarkEnd w:id="0"/>
      <w:r w:rsidR="0023483D">
        <w:rPr>
          <w:rFonts w:ascii="Verdana" w:eastAsia="Times New Roman" w:hAnsi="Verdana" w:cs="Times New Roman"/>
          <w:sz w:val="18"/>
          <w:szCs w:val="18"/>
        </w:rPr>
        <w:t xml:space="preserve">   </w:t>
      </w:r>
      <w:r w:rsidR="00C247AF">
        <w:rPr>
          <w:rFonts w:ascii="Verdana" w:eastAsia="Times New Roman" w:hAnsi="Verdana" w:cs="Times New Roman"/>
          <w:sz w:val="18"/>
          <w:szCs w:val="18"/>
        </w:rPr>
        <w:t xml:space="preserve">      </w:t>
      </w:r>
    </w:p>
    <w:p w:rsidR="00DA5D27" w:rsidRDefault="002A2E2B" w:rsidP="00D62706">
      <w:pPr>
        <w:jc w:val="both"/>
        <w:rPr>
          <w:rFonts w:ascii="Verdana" w:eastAsia="Times New Roman" w:hAnsi="Verdana" w:cs="Times New Roman"/>
          <w:sz w:val="18"/>
          <w:szCs w:val="18"/>
        </w:rPr>
      </w:pPr>
      <w:r w:rsidRPr="002A2E2B">
        <w:rPr>
          <w:rFonts w:ascii="Verdana" w:eastAsia="Times New Roman" w:hAnsi="Verdana" w:cs="Times New Roman"/>
          <w:sz w:val="18"/>
          <w:szCs w:val="18"/>
        </w:rPr>
        <w:t>Yayımcı Meslek Birlikleri Federasyonu olarak, İstanbul Merkez ve Ankara şubelerimizde bu yıl</w:t>
      </w:r>
      <w:r w:rsidR="00450763">
        <w:rPr>
          <w:rFonts w:ascii="Verdana" w:eastAsia="Times New Roman" w:hAnsi="Verdana" w:cs="Times New Roman"/>
          <w:sz w:val="18"/>
          <w:szCs w:val="18"/>
        </w:rPr>
        <w:t>,</w:t>
      </w:r>
      <w:r w:rsidRPr="002A2E2B">
        <w:rPr>
          <w:rFonts w:ascii="Verdana" w:eastAsia="Times New Roman" w:hAnsi="Verdana" w:cs="Times New Roman"/>
          <w:sz w:val="18"/>
          <w:szCs w:val="18"/>
        </w:rPr>
        <w:t xml:space="preserve"> dört bin iki yüzün üzerinde bireysel ve kurumsal </w:t>
      </w:r>
      <w:r>
        <w:rPr>
          <w:rFonts w:ascii="Verdana" w:eastAsia="Times New Roman" w:hAnsi="Verdana" w:cs="Times New Roman"/>
          <w:sz w:val="18"/>
          <w:szCs w:val="18"/>
        </w:rPr>
        <w:t>farklı yayıncıya hizmet verdik.</w:t>
      </w:r>
      <w:r w:rsidR="003E326F">
        <w:rPr>
          <w:rFonts w:ascii="Verdana" w:eastAsia="Times New Roman" w:hAnsi="Verdana" w:cs="Times New Roman"/>
          <w:sz w:val="18"/>
          <w:szCs w:val="18"/>
        </w:rPr>
        <w:t xml:space="preserve"> </w:t>
      </w:r>
      <w:r w:rsidRPr="002A2E2B">
        <w:rPr>
          <w:rFonts w:ascii="Verdana" w:eastAsia="Times New Roman" w:hAnsi="Verdana" w:cs="Times New Roman"/>
          <w:sz w:val="18"/>
          <w:szCs w:val="18"/>
        </w:rPr>
        <w:t xml:space="preserve">Federasyonumuzca 2018 yılında </w:t>
      </w:r>
      <w:r w:rsidRPr="002A2E2B">
        <w:rPr>
          <w:rFonts w:ascii="Verdana" w:eastAsia="Times New Roman" w:hAnsi="Verdana" w:cs="Times New Roman"/>
          <w:b/>
          <w:sz w:val="18"/>
          <w:szCs w:val="18"/>
        </w:rPr>
        <w:t>23.878</w:t>
      </w:r>
      <w:r w:rsidRPr="002A2E2B">
        <w:rPr>
          <w:rFonts w:ascii="Verdana" w:eastAsia="Times New Roman" w:hAnsi="Verdana" w:cs="Times New Roman"/>
          <w:sz w:val="18"/>
          <w:szCs w:val="18"/>
        </w:rPr>
        <w:t xml:space="preserve"> adet sonuçlandırdığımız </w:t>
      </w:r>
      <w:proofErr w:type="gramStart"/>
      <w:r w:rsidRPr="002A2E2B">
        <w:rPr>
          <w:rFonts w:ascii="Verdana" w:eastAsia="Times New Roman" w:hAnsi="Verdana" w:cs="Times New Roman"/>
          <w:sz w:val="18"/>
          <w:szCs w:val="18"/>
        </w:rPr>
        <w:t>bandrol</w:t>
      </w:r>
      <w:proofErr w:type="gramEnd"/>
      <w:r w:rsidRPr="002A2E2B">
        <w:rPr>
          <w:rFonts w:ascii="Verdana" w:eastAsia="Times New Roman" w:hAnsi="Verdana" w:cs="Times New Roman"/>
          <w:sz w:val="18"/>
          <w:szCs w:val="18"/>
        </w:rPr>
        <w:t xml:space="preserve"> talebi</w:t>
      </w:r>
      <w:r>
        <w:rPr>
          <w:rFonts w:ascii="Verdana" w:eastAsia="Times New Roman" w:hAnsi="Verdana" w:cs="Times New Roman"/>
          <w:sz w:val="18"/>
          <w:szCs w:val="18"/>
        </w:rPr>
        <w:t xml:space="preserve"> yaklaşık  </w:t>
      </w:r>
      <w:r w:rsidRPr="002A2E2B">
        <w:rPr>
          <w:rFonts w:ascii="Verdana" w:eastAsia="Times New Roman" w:hAnsi="Verdana" w:cs="Times New Roman"/>
          <w:b/>
          <w:sz w:val="18"/>
          <w:szCs w:val="18"/>
        </w:rPr>
        <w:t>%2</w:t>
      </w:r>
      <w:r w:rsidRPr="002A2E2B">
        <w:rPr>
          <w:rFonts w:ascii="Verdana" w:eastAsia="Times New Roman" w:hAnsi="Verdana" w:cs="Times New Roman"/>
          <w:sz w:val="18"/>
          <w:szCs w:val="18"/>
        </w:rPr>
        <w:t xml:space="preserve">’lik büyüme göstererek 2019 yılında </w:t>
      </w:r>
      <w:r w:rsidRPr="002A2E2B">
        <w:rPr>
          <w:rFonts w:ascii="Verdana" w:eastAsia="Times New Roman" w:hAnsi="Verdana" w:cs="Times New Roman"/>
          <w:b/>
          <w:sz w:val="18"/>
          <w:szCs w:val="18"/>
        </w:rPr>
        <w:t>24.304</w:t>
      </w:r>
      <w:r>
        <w:rPr>
          <w:rFonts w:ascii="Verdana" w:eastAsia="Times New Roman" w:hAnsi="Verdana" w:cs="Times New Roman"/>
          <w:sz w:val="18"/>
          <w:szCs w:val="18"/>
        </w:rPr>
        <w:t>’e yükselmiştir.</w:t>
      </w:r>
      <w:r w:rsidR="003E326F">
        <w:rPr>
          <w:rFonts w:ascii="Verdana" w:eastAsia="Times New Roman" w:hAnsi="Verdana" w:cs="Times New Roman"/>
          <w:sz w:val="18"/>
          <w:szCs w:val="18"/>
        </w:rPr>
        <w:t xml:space="preserve"> </w:t>
      </w:r>
      <w:r w:rsidRPr="002A2E2B">
        <w:rPr>
          <w:rFonts w:ascii="Verdana" w:eastAsia="Times New Roman" w:hAnsi="Verdana" w:cs="Times New Roman"/>
          <w:sz w:val="18"/>
          <w:szCs w:val="18"/>
        </w:rPr>
        <w:t xml:space="preserve">Taleplerin, </w:t>
      </w:r>
      <w:r w:rsidRPr="002A2E2B">
        <w:rPr>
          <w:rFonts w:ascii="Verdana" w:eastAsia="Times New Roman" w:hAnsi="Verdana" w:cs="Times New Roman"/>
          <w:b/>
          <w:sz w:val="18"/>
          <w:szCs w:val="18"/>
        </w:rPr>
        <w:t>12.244</w:t>
      </w:r>
      <w:r w:rsidRPr="002A2E2B">
        <w:rPr>
          <w:rFonts w:ascii="Verdana" w:eastAsia="Times New Roman" w:hAnsi="Verdana" w:cs="Times New Roman"/>
          <w:sz w:val="18"/>
          <w:szCs w:val="18"/>
        </w:rPr>
        <w:t xml:space="preserve"> adedi doğrudan </w:t>
      </w:r>
      <w:r w:rsidRPr="002A2E2B">
        <w:rPr>
          <w:rFonts w:ascii="Verdana" w:eastAsia="Times New Roman" w:hAnsi="Verdana" w:cs="Times New Roman"/>
          <w:b/>
          <w:sz w:val="18"/>
          <w:szCs w:val="18"/>
        </w:rPr>
        <w:t>1.367</w:t>
      </w:r>
      <w:r w:rsidRPr="002A2E2B">
        <w:rPr>
          <w:rFonts w:ascii="Verdana" w:eastAsia="Times New Roman" w:hAnsi="Verdana" w:cs="Times New Roman"/>
          <w:sz w:val="18"/>
          <w:szCs w:val="18"/>
        </w:rPr>
        <w:t xml:space="preserve"> adedi kargo yoluyla olmak üzere toplam </w:t>
      </w:r>
      <w:r w:rsidRPr="002A2E2B">
        <w:rPr>
          <w:rFonts w:ascii="Verdana" w:eastAsia="Times New Roman" w:hAnsi="Verdana" w:cs="Times New Roman"/>
          <w:b/>
          <w:sz w:val="18"/>
          <w:szCs w:val="18"/>
        </w:rPr>
        <w:t>13.611</w:t>
      </w:r>
      <w:r w:rsidRPr="002A2E2B">
        <w:rPr>
          <w:rFonts w:ascii="Verdana" w:eastAsia="Times New Roman" w:hAnsi="Verdana" w:cs="Times New Roman"/>
          <w:sz w:val="18"/>
          <w:szCs w:val="18"/>
        </w:rPr>
        <w:t xml:space="preserve"> adedi İstanbul merkez tarafından, </w:t>
      </w:r>
      <w:r w:rsidRPr="002A2E2B">
        <w:rPr>
          <w:rFonts w:ascii="Verdana" w:eastAsia="Times New Roman" w:hAnsi="Verdana" w:cs="Times New Roman"/>
          <w:b/>
          <w:sz w:val="18"/>
          <w:szCs w:val="18"/>
        </w:rPr>
        <w:t>7.967</w:t>
      </w:r>
      <w:r w:rsidRPr="002A2E2B">
        <w:rPr>
          <w:rFonts w:ascii="Verdana" w:eastAsia="Times New Roman" w:hAnsi="Verdana" w:cs="Times New Roman"/>
          <w:sz w:val="18"/>
          <w:szCs w:val="18"/>
        </w:rPr>
        <w:t xml:space="preserve"> adet doğrudan ve </w:t>
      </w:r>
      <w:r w:rsidRPr="002A2E2B">
        <w:rPr>
          <w:rFonts w:ascii="Verdana" w:eastAsia="Times New Roman" w:hAnsi="Verdana" w:cs="Times New Roman"/>
          <w:b/>
          <w:sz w:val="18"/>
          <w:szCs w:val="18"/>
        </w:rPr>
        <w:t>2.726</w:t>
      </w:r>
      <w:r w:rsidRPr="002A2E2B">
        <w:rPr>
          <w:rFonts w:ascii="Verdana" w:eastAsia="Times New Roman" w:hAnsi="Verdana" w:cs="Times New Roman"/>
          <w:sz w:val="18"/>
          <w:szCs w:val="18"/>
        </w:rPr>
        <w:t xml:space="preserve"> </w:t>
      </w:r>
      <w:proofErr w:type="gramStart"/>
      <w:r w:rsidRPr="002A2E2B">
        <w:rPr>
          <w:rFonts w:ascii="Verdana" w:eastAsia="Times New Roman" w:hAnsi="Verdana" w:cs="Times New Roman"/>
          <w:sz w:val="18"/>
          <w:szCs w:val="18"/>
        </w:rPr>
        <w:t>adedi  kargo</w:t>
      </w:r>
      <w:proofErr w:type="gramEnd"/>
      <w:r w:rsidRPr="002A2E2B">
        <w:rPr>
          <w:rFonts w:ascii="Verdana" w:eastAsia="Times New Roman" w:hAnsi="Verdana" w:cs="Times New Roman"/>
          <w:sz w:val="18"/>
          <w:szCs w:val="18"/>
        </w:rPr>
        <w:t xml:space="preserve"> yoluyla olmak üzere toplam </w:t>
      </w:r>
      <w:r w:rsidRPr="002A2E2B">
        <w:rPr>
          <w:rFonts w:ascii="Verdana" w:eastAsia="Times New Roman" w:hAnsi="Verdana" w:cs="Times New Roman"/>
          <w:b/>
          <w:sz w:val="18"/>
          <w:szCs w:val="18"/>
        </w:rPr>
        <w:t>10.693</w:t>
      </w:r>
      <w:r w:rsidRPr="002A2E2B">
        <w:rPr>
          <w:rFonts w:ascii="Verdana" w:eastAsia="Times New Roman" w:hAnsi="Verdana" w:cs="Times New Roman"/>
          <w:sz w:val="18"/>
          <w:szCs w:val="18"/>
        </w:rPr>
        <w:t xml:space="preserve"> adet bandrol talebi ise Ankara ofis</w:t>
      </w:r>
      <w:r w:rsidR="003E326F">
        <w:rPr>
          <w:rFonts w:ascii="Verdana" w:eastAsia="Times New Roman" w:hAnsi="Verdana" w:cs="Times New Roman"/>
          <w:sz w:val="18"/>
          <w:szCs w:val="18"/>
        </w:rPr>
        <w:t>imiz tarafından karşılanmıştır.</w:t>
      </w:r>
    </w:p>
    <w:p w:rsidR="00E26581" w:rsidRDefault="00C45D48" w:rsidP="00E26581">
      <w:pPr>
        <w:jc w:val="both"/>
        <w:rPr>
          <w:rFonts w:ascii="Arial" w:eastAsia="Times New Roman" w:hAnsi="Arial" w:cs="Arial"/>
          <w:color w:val="891C02"/>
          <w:kern w:val="36"/>
          <w:sz w:val="28"/>
          <w:szCs w:val="33"/>
        </w:rPr>
      </w:pPr>
      <w:r>
        <w:rPr>
          <w:rFonts w:ascii="Arial" w:eastAsia="Times New Roman" w:hAnsi="Arial" w:cs="Arial"/>
          <w:color w:val="891C02"/>
          <w:kern w:val="36"/>
          <w:sz w:val="28"/>
          <w:szCs w:val="33"/>
        </w:rPr>
        <w:t>2019</w:t>
      </w:r>
      <w:r w:rsidR="00D62706">
        <w:rPr>
          <w:rFonts w:ascii="Arial" w:eastAsia="Times New Roman" w:hAnsi="Arial" w:cs="Arial"/>
          <w:color w:val="891C02"/>
          <w:kern w:val="36"/>
          <w:sz w:val="28"/>
          <w:szCs w:val="33"/>
        </w:rPr>
        <w:t xml:space="preserve"> Yılı Kategori Dağılımı</w:t>
      </w:r>
    </w:p>
    <w:p w:rsidR="00FE367E" w:rsidRDefault="00625D8F" w:rsidP="00E26581">
      <w:pPr>
        <w:jc w:val="both"/>
        <w:rPr>
          <w:rFonts w:ascii="Verdana" w:eastAsia="Times New Roman" w:hAnsi="Verdana" w:cs="Times New Roman"/>
          <w:sz w:val="18"/>
          <w:szCs w:val="18"/>
        </w:rPr>
      </w:pPr>
      <w:r>
        <w:rPr>
          <w:rFonts w:ascii="Verdana" w:eastAsia="Times New Roman" w:hAnsi="Verdana" w:cs="Times New Roman"/>
          <w:sz w:val="18"/>
          <w:szCs w:val="18"/>
        </w:rPr>
        <w:t>2019</w:t>
      </w:r>
      <w:r w:rsidR="0076750F">
        <w:rPr>
          <w:rFonts w:ascii="Verdana" w:eastAsia="Times New Roman" w:hAnsi="Verdana" w:cs="Times New Roman"/>
          <w:sz w:val="18"/>
          <w:szCs w:val="18"/>
        </w:rPr>
        <w:t xml:space="preserve"> </w:t>
      </w:r>
      <w:r w:rsidR="00D62706">
        <w:rPr>
          <w:rFonts w:ascii="Verdana" w:eastAsia="Times New Roman" w:hAnsi="Verdana" w:cs="Times New Roman"/>
          <w:sz w:val="18"/>
          <w:szCs w:val="18"/>
        </w:rPr>
        <w:t>yılında ya</w:t>
      </w:r>
      <w:r w:rsidR="00432021">
        <w:rPr>
          <w:rFonts w:ascii="Verdana" w:eastAsia="Times New Roman" w:hAnsi="Verdana" w:cs="Times New Roman"/>
          <w:sz w:val="18"/>
          <w:szCs w:val="18"/>
        </w:rPr>
        <w:t xml:space="preserve">yımlanan kitapların </w:t>
      </w:r>
      <w:r w:rsidR="0076750F">
        <w:rPr>
          <w:rFonts w:ascii="Verdana" w:eastAsia="Times New Roman" w:hAnsi="Verdana" w:cs="Times New Roman"/>
          <w:sz w:val="18"/>
          <w:szCs w:val="18"/>
        </w:rPr>
        <w:t>%18</w:t>
      </w:r>
      <w:r>
        <w:rPr>
          <w:rFonts w:ascii="Verdana" w:eastAsia="Times New Roman" w:hAnsi="Verdana" w:cs="Times New Roman"/>
          <w:sz w:val="18"/>
          <w:szCs w:val="18"/>
        </w:rPr>
        <w:t>,7</w:t>
      </w:r>
      <w:r w:rsidR="0076750F">
        <w:rPr>
          <w:rFonts w:ascii="Verdana" w:eastAsia="Times New Roman" w:hAnsi="Verdana" w:cs="Times New Roman"/>
          <w:sz w:val="18"/>
          <w:szCs w:val="18"/>
        </w:rPr>
        <w:t>'</w:t>
      </w:r>
      <w:r>
        <w:rPr>
          <w:rFonts w:ascii="Verdana" w:eastAsia="Times New Roman" w:hAnsi="Verdana" w:cs="Times New Roman"/>
          <w:sz w:val="18"/>
          <w:szCs w:val="18"/>
        </w:rPr>
        <w:t>s</w:t>
      </w:r>
      <w:r w:rsidR="0076750F">
        <w:rPr>
          <w:rFonts w:ascii="Verdana" w:eastAsia="Times New Roman" w:hAnsi="Verdana" w:cs="Times New Roman"/>
          <w:sz w:val="18"/>
          <w:szCs w:val="18"/>
        </w:rPr>
        <w:t>ini</w:t>
      </w:r>
      <w:r w:rsidR="00D62706">
        <w:rPr>
          <w:rFonts w:ascii="Verdana" w:eastAsia="Times New Roman" w:hAnsi="Verdana" w:cs="Times New Roman"/>
          <w:sz w:val="18"/>
          <w:szCs w:val="18"/>
        </w:rPr>
        <w:t xml:space="preserve"> yetişkin a</w:t>
      </w:r>
      <w:r w:rsidR="00432021">
        <w:rPr>
          <w:rFonts w:ascii="Verdana" w:eastAsia="Times New Roman" w:hAnsi="Verdana" w:cs="Times New Roman"/>
          <w:sz w:val="18"/>
          <w:szCs w:val="18"/>
        </w:rPr>
        <w:t>ra</w:t>
      </w:r>
      <w:r w:rsidR="0076750F">
        <w:rPr>
          <w:rFonts w:ascii="Verdana" w:eastAsia="Times New Roman" w:hAnsi="Verdana" w:cs="Times New Roman"/>
          <w:sz w:val="18"/>
          <w:szCs w:val="18"/>
        </w:rPr>
        <w:t>ştırma, inceleme kitapları, %6</w:t>
      </w:r>
      <w:r>
        <w:rPr>
          <w:rFonts w:ascii="Verdana" w:eastAsia="Times New Roman" w:hAnsi="Verdana" w:cs="Times New Roman"/>
          <w:sz w:val="18"/>
          <w:szCs w:val="18"/>
        </w:rPr>
        <w:t>,4'ünü</w:t>
      </w:r>
      <w:r w:rsidR="00D62706">
        <w:rPr>
          <w:rFonts w:ascii="Verdana" w:eastAsia="Times New Roman" w:hAnsi="Verdana" w:cs="Times New Roman"/>
          <w:sz w:val="18"/>
          <w:szCs w:val="18"/>
        </w:rPr>
        <w:t xml:space="preserve"> yetiş</w:t>
      </w:r>
      <w:r w:rsidR="00432021">
        <w:rPr>
          <w:rFonts w:ascii="Verdana" w:eastAsia="Times New Roman" w:hAnsi="Verdana" w:cs="Times New Roman"/>
          <w:sz w:val="18"/>
          <w:szCs w:val="18"/>
        </w:rPr>
        <w:t xml:space="preserve">kin edebiyat sanat </w:t>
      </w:r>
      <w:r>
        <w:rPr>
          <w:rFonts w:ascii="Verdana" w:eastAsia="Times New Roman" w:hAnsi="Verdana" w:cs="Times New Roman"/>
          <w:sz w:val="18"/>
          <w:szCs w:val="18"/>
        </w:rPr>
        <w:t>kitapları, %9,7'sini</w:t>
      </w:r>
      <w:r w:rsidR="00D62706">
        <w:rPr>
          <w:rFonts w:ascii="Verdana" w:eastAsia="Times New Roman" w:hAnsi="Verdana" w:cs="Times New Roman"/>
          <w:sz w:val="18"/>
          <w:szCs w:val="18"/>
        </w:rPr>
        <w:t xml:space="preserve"> çocuk ve gençlik kitapları, </w:t>
      </w:r>
      <w:r>
        <w:rPr>
          <w:rFonts w:ascii="Verdana" w:eastAsia="Times New Roman" w:hAnsi="Verdana" w:cs="Times New Roman"/>
          <w:sz w:val="18"/>
          <w:szCs w:val="18"/>
        </w:rPr>
        <w:t>%8,7</w:t>
      </w:r>
      <w:r w:rsidR="003346A4">
        <w:rPr>
          <w:rFonts w:ascii="Verdana" w:eastAsia="Times New Roman" w:hAnsi="Verdana" w:cs="Times New Roman"/>
          <w:sz w:val="18"/>
          <w:szCs w:val="18"/>
        </w:rPr>
        <w:t>'</w:t>
      </w:r>
      <w:r>
        <w:rPr>
          <w:rFonts w:ascii="Verdana" w:eastAsia="Times New Roman" w:hAnsi="Verdana" w:cs="Times New Roman"/>
          <w:sz w:val="18"/>
          <w:szCs w:val="18"/>
        </w:rPr>
        <w:t>s</w:t>
      </w:r>
      <w:r w:rsidR="003346A4">
        <w:rPr>
          <w:rFonts w:ascii="Verdana" w:eastAsia="Times New Roman" w:hAnsi="Verdana" w:cs="Times New Roman"/>
          <w:sz w:val="18"/>
          <w:szCs w:val="18"/>
        </w:rPr>
        <w:t>ini</w:t>
      </w:r>
      <w:r w:rsidR="00D62706">
        <w:rPr>
          <w:rFonts w:ascii="Verdana" w:eastAsia="Times New Roman" w:hAnsi="Verdana" w:cs="Times New Roman"/>
          <w:sz w:val="18"/>
          <w:szCs w:val="18"/>
        </w:rPr>
        <w:t xml:space="preserve"> inanç kitapları,</w:t>
      </w:r>
      <w:r>
        <w:rPr>
          <w:rFonts w:ascii="Verdana" w:eastAsia="Times New Roman" w:hAnsi="Verdana" w:cs="Times New Roman"/>
          <w:sz w:val="18"/>
          <w:szCs w:val="18"/>
        </w:rPr>
        <w:t xml:space="preserve"> yaklaşık</w:t>
      </w:r>
      <w:r w:rsidR="00D62706">
        <w:rPr>
          <w:rFonts w:ascii="Verdana" w:eastAsia="Times New Roman" w:hAnsi="Verdana" w:cs="Times New Roman"/>
          <w:sz w:val="18"/>
          <w:szCs w:val="18"/>
        </w:rPr>
        <w:t xml:space="preserve"> %1</w:t>
      </w:r>
      <w:r>
        <w:rPr>
          <w:rFonts w:ascii="Verdana" w:eastAsia="Times New Roman" w:hAnsi="Verdana" w:cs="Times New Roman"/>
          <w:sz w:val="18"/>
          <w:szCs w:val="18"/>
        </w:rPr>
        <w:t>,2</w:t>
      </w:r>
      <w:r w:rsidR="003346A4">
        <w:rPr>
          <w:rFonts w:ascii="Verdana" w:eastAsia="Times New Roman" w:hAnsi="Verdana" w:cs="Times New Roman"/>
          <w:sz w:val="18"/>
          <w:szCs w:val="18"/>
        </w:rPr>
        <w:t>’</w:t>
      </w:r>
      <w:r>
        <w:rPr>
          <w:rFonts w:ascii="Verdana" w:eastAsia="Times New Roman" w:hAnsi="Verdana" w:cs="Times New Roman"/>
          <w:sz w:val="18"/>
          <w:szCs w:val="18"/>
        </w:rPr>
        <w:t>s</w:t>
      </w:r>
      <w:r w:rsidR="00D62706">
        <w:rPr>
          <w:rFonts w:ascii="Verdana" w:eastAsia="Times New Roman" w:hAnsi="Verdana" w:cs="Times New Roman"/>
          <w:sz w:val="18"/>
          <w:szCs w:val="18"/>
        </w:rPr>
        <w:t xml:space="preserve">ini akademik yayınlar, </w:t>
      </w:r>
      <w:r>
        <w:rPr>
          <w:rFonts w:ascii="Verdana" w:eastAsia="Times New Roman" w:hAnsi="Verdana" w:cs="Times New Roman"/>
          <w:sz w:val="18"/>
          <w:szCs w:val="18"/>
        </w:rPr>
        <w:t xml:space="preserve">yine yaklaşık </w:t>
      </w:r>
      <w:r w:rsidR="00D62706">
        <w:rPr>
          <w:rFonts w:ascii="Verdana" w:eastAsia="Times New Roman" w:hAnsi="Verdana" w:cs="Times New Roman"/>
          <w:sz w:val="18"/>
          <w:szCs w:val="18"/>
        </w:rPr>
        <w:t>%1</w:t>
      </w:r>
      <w:r w:rsidR="003346A4">
        <w:rPr>
          <w:rFonts w:ascii="Verdana" w:eastAsia="Times New Roman" w:hAnsi="Verdana" w:cs="Times New Roman"/>
          <w:sz w:val="18"/>
          <w:szCs w:val="18"/>
        </w:rPr>
        <w:t>,</w:t>
      </w:r>
      <w:r>
        <w:rPr>
          <w:rFonts w:ascii="Verdana" w:eastAsia="Times New Roman" w:hAnsi="Verdana" w:cs="Times New Roman"/>
          <w:sz w:val="18"/>
          <w:szCs w:val="18"/>
        </w:rPr>
        <w:t>2</w:t>
      </w:r>
      <w:r w:rsidR="00151FD1">
        <w:rPr>
          <w:rFonts w:ascii="Verdana" w:eastAsia="Times New Roman" w:hAnsi="Verdana" w:cs="Times New Roman"/>
          <w:sz w:val="18"/>
          <w:szCs w:val="18"/>
        </w:rPr>
        <w:t>5</w:t>
      </w:r>
      <w:r w:rsidR="003346A4">
        <w:rPr>
          <w:rFonts w:ascii="Verdana" w:eastAsia="Times New Roman" w:hAnsi="Verdana" w:cs="Times New Roman"/>
          <w:sz w:val="18"/>
          <w:szCs w:val="18"/>
        </w:rPr>
        <w:t>’</w:t>
      </w:r>
      <w:r>
        <w:rPr>
          <w:rFonts w:ascii="Verdana" w:eastAsia="Times New Roman" w:hAnsi="Verdana" w:cs="Times New Roman"/>
          <w:sz w:val="18"/>
          <w:szCs w:val="18"/>
        </w:rPr>
        <w:t>sini</w:t>
      </w:r>
      <w:r w:rsidR="003346A4">
        <w:rPr>
          <w:rFonts w:ascii="Verdana" w:eastAsia="Times New Roman" w:hAnsi="Verdana" w:cs="Times New Roman"/>
          <w:sz w:val="18"/>
          <w:szCs w:val="18"/>
        </w:rPr>
        <w:t>l kit</w:t>
      </w:r>
      <w:r>
        <w:rPr>
          <w:rFonts w:ascii="Verdana" w:eastAsia="Times New Roman" w:hAnsi="Verdana" w:cs="Times New Roman"/>
          <w:sz w:val="18"/>
          <w:szCs w:val="18"/>
        </w:rPr>
        <w:t>aplar ve %5</w:t>
      </w:r>
      <w:r w:rsidR="00E26581">
        <w:rPr>
          <w:rFonts w:ascii="Verdana" w:eastAsia="Times New Roman" w:hAnsi="Verdana" w:cs="Times New Roman"/>
          <w:sz w:val="18"/>
          <w:szCs w:val="18"/>
        </w:rPr>
        <w:t>4'ünü</w:t>
      </w:r>
      <w:r w:rsidR="00D62706">
        <w:rPr>
          <w:rFonts w:ascii="Verdana" w:eastAsia="Times New Roman" w:hAnsi="Verdana" w:cs="Times New Roman"/>
          <w:sz w:val="18"/>
          <w:szCs w:val="18"/>
        </w:rPr>
        <w:t xml:space="preserve"> eğitim alanındaki kitaplar oluşturdu.</w:t>
      </w:r>
      <w:r w:rsidR="00E26581">
        <w:rPr>
          <w:rFonts w:ascii="Verdana" w:eastAsia="Times New Roman" w:hAnsi="Verdana" w:cs="Times New Roman"/>
          <w:sz w:val="18"/>
          <w:szCs w:val="18"/>
        </w:rPr>
        <w:t xml:space="preserve"> </w:t>
      </w:r>
      <w:r>
        <w:rPr>
          <w:rFonts w:ascii="Verdana" w:eastAsia="Times New Roman" w:hAnsi="Verdana" w:cs="Times New Roman"/>
          <w:sz w:val="18"/>
          <w:szCs w:val="18"/>
        </w:rPr>
        <w:t>Aşağıdaki tabloda da deta</w:t>
      </w:r>
      <w:r w:rsidR="006E2F70">
        <w:rPr>
          <w:rFonts w:ascii="Verdana" w:eastAsia="Times New Roman" w:hAnsi="Verdana" w:cs="Times New Roman"/>
          <w:sz w:val="18"/>
          <w:szCs w:val="18"/>
        </w:rPr>
        <w:t>ylandırdığımız son duruma göre yetişkin araştırma-i</w:t>
      </w:r>
      <w:r>
        <w:rPr>
          <w:rFonts w:ascii="Verdana" w:eastAsia="Times New Roman" w:hAnsi="Verdana" w:cs="Times New Roman"/>
          <w:sz w:val="18"/>
          <w:szCs w:val="18"/>
        </w:rPr>
        <w:t>nc</w:t>
      </w:r>
      <w:r w:rsidR="006E2F70">
        <w:rPr>
          <w:rFonts w:ascii="Verdana" w:eastAsia="Times New Roman" w:hAnsi="Verdana" w:cs="Times New Roman"/>
          <w:sz w:val="18"/>
          <w:szCs w:val="18"/>
        </w:rPr>
        <w:t>eleme, yetişkin kurgu, a</w:t>
      </w:r>
      <w:r>
        <w:rPr>
          <w:rFonts w:ascii="Verdana" w:eastAsia="Times New Roman" w:hAnsi="Verdana" w:cs="Times New Roman"/>
          <w:sz w:val="18"/>
          <w:szCs w:val="18"/>
        </w:rPr>
        <w:t>kademik yayınlar ve eğitim kat</w:t>
      </w:r>
      <w:r w:rsidR="006E2F70">
        <w:rPr>
          <w:rFonts w:ascii="Verdana" w:eastAsia="Times New Roman" w:hAnsi="Verdana" w:cs="Times New Roman"/>
          <w:sz w:val="18"/>
          <w:szCs w:val="18"/>
        </w:rPr>
        <w:t>egorisinde büyüme gözlenirken, inanç ve i</w:t>
      </w:r>
      <w:r>
        <w:rPr>
          <w:rFonts w:ascii="Verdana" w:eastAsia="Times New Roman" w:hAnsi="Verdana" w:cs="Times New Roman"/>
          <w:sz w:val="18"/>
          <w:szCs w:val="18"/>
        </w:rPr>
        <w:t>thal kategoride yayımlanan kitaplar ön</w:t>
      </w:r>
      <w:r w:rsidR="006E2F70">
        <w:rPr>
          <w:rFonts w:ascii="Verdana" w:eastAsia="Times New Roman" w:hAnsi="Verdana" w:cs="Times New Roman"/>
          <w:sz w:val="18"/>
          <w:szCs w:val="18"/>
        </w:rPr>
        <w:t>emli düşüş kaydetmiştir. Çocuk-G</w:t>
      </w:r>
      <w:r>
        <w:rPr>
          <w:rFonts w:ascii="Verdana" w:eastAsia="Times New Roman" w:hAnsi="Verdana" w:cs="Times New Roman"/>
          <w:sz w:val="18"/>
          <w:szCs w:val="18"/>
        </w:rPr>
        <w:t xml:space="preserve">ençlik kategorisinde ise dikkate değer bir değişim gözlenmemiştir. Adetsel </w:t>
      </w:r>
      <w:proofErr w:type="gramStart"/>
      <w:r>
        <w:rPr>
          <w:rFonts w:ascii="Verdana" w:eastAsia="Times New Roman" w:hAnsi="Verdana" w:cs="Times New Roman"/>
          <w:sz w:val="18"/>
          <w:szCs w:val="18"/>
        </w:rPr>
        <w:t>baz</w:t>
      </w:r>
      <w:proofErr w:type="gramEnd"/>
      <w:r w:rsidR="006E2F70">
        <w:rPr>
          <w:rFonts w:ascii="Verdana" w:eastAsia="Times New Roman" w:hAnsi="Verdana" w:cs="Times New Roman"/>
          <w:sz w:val="18"/>
          <w:szCs w:val="18"/>
        </w:rPr>
        <w:t xml:space="preserve"> </w:t>
      </w:r>
      <w:r>
        <w:rPr>
          <w:rFonts w:ascii="Verdana" w:eastAsia="Times New Roman" w:hAnsi="Verdana" w:cs="Times New Roman"/>
          <w:sz w:val="18"/>
          <w:szCs w:val="18"/>
        </w:rPr>
        <w:t>da</w:t>
      </w:r>
      <w:r w:rsidR="00D75A8F">
        <w:rPr>
          <w:rFonts w:ascii="Verdana" w:eastAsia="Times New Roman" w:hAnsi="Verdana" w:cs="Times New Roman"/>
          <w:sz w:val="18"/>
          <w:szCs w:val="18"/>
        </w:rPr>
        <w:t xml:space="preserve"> incelediğimizde en</w:t>
      </w:r>
      <w:r>
        <w:rPr>
          <w:rFonts w:ascii="Verdana" w:eastAsia="Times New Roman" w:hAnsi="Verdana" w:cs="Times New Roman"/>
          <w:sz w:val="18"/>
          <w:szCs w:val="18"/>
        </w:rPr>
        <w:t xml:space="preserve"> önemli büyüme katkısını eğitim kategorisindeki kitaplar oluşturdu.</w:t>
      </w:r>
      <w:r w:rsidR="00D75A8F">
        <w:rPr>
          <w:rFonts w:ascii="Verdana" w:eastAsia="Times New Roman" w:hAnsi="Verdana" w:cs="Times New Roman"/>
          <w:sz w:val="18"/>
          <w:szCs w:val="18"/>
        </w:rPr>
        <w:t xml:space="preserve"> Eğitim kategorisinde yayımlanan kitap yüzdesi 2013 yılından itibaren düzenlediğimiz kategori raporunda her zaman %50 ile %55 bandı içerisinde yer almıştır. Yüzdesel </w:t>
      </w:r>
      <w:proofErr w:type="gramStart"/>
      <w:r w:rsidR="00D75A8F">
        <w:rPr>
          <w:rFonts w:ascii="Verdana" w:eastAsia="Times New Roman" w:hAnsi="Verdana" w:cs="Times New Roman"/>
          <w:sz w:val="18"/>
          <w:szCs w:val="18"/>
        </w:rPr>
        <w:t>baz</w:t>
      </w:r>
      <w:proofErr w:type="gramEnd"/>
      <w:r w:rsidR="006E2F70">
        <w:rPr>
          <w:rFonts w:ascii="Verdana" w:eastAsia="Times New Roman" w:hAnsi="Verdana" w:cs="Times New Roman"/>
          <w:sz w:val="18"/>
          <w:szCs w:val="18"/>
        </w:rPr>
        <w:t xml:space="preserve"> </w:t>
      </w:r>
      <w:r w:rsidR="00D75A8F">
        <w:rPr>
          <w:rFonts w:ascii="Verdana" w:eastAsia="Times New Roman" w:hAnsi="Verdana" w:cs="Times New Roman"/>
          <w:sz w:val="18"/>
          <w:szCs w:val="18"/>
        </w:rPr>
        <w:t>da en önemli</w:t>
      </w:r>
      <w:r w:rsidR="006E2F70">
        <w:rPr>
          <w:rFonts w:ascii="Verdana" w:eastAsia="Times New Roman" w:hAnsi="Verdana" w:cs="Times New Roman"/>
          <w:sz w:val="18"/>
          <w:szCs w:val="18"/>
        </w:rPr>
        <w:t xml:space="preserve"> büyüme yetişkin k</w:t>
      </w:r>
      <w:r w:rsidR="00D75A8F">
        <w:rPr>
          <w:rFonts w:ascii="Verdana" w:eastAsia="Times New Roman" w:hAnsi="Verdana" w:cs="Times New Roman"/>
          <w:sz w:val="18"/>
          <w:szCs w:val="18"/>
        </w:rPr>
        <w:t>urgu kategorisinde yayımlanan kitap adedinde %10,4 yüzdesel değeriyle gözlemlenmiştir. Adetsel ve yü</w:t>
      </w:r>
      <w:r w:rsidR="006E2F70">
        <w:rPr>
          <w:rFonts w:ascii="Verdana" w:eastAsia="Times New Roman" w:hAnsi="Verdana" w:cs="Times New Roman"/>
          <w:sz w:val="18"/>
          <w:szCs w:val="18"/>
        </w:rPr>
        <w:t xml:space="preserve">zdesel </w:t>
      </w:r>
      <w:proofErr w:type="gramStart"/>
      <w:r w:rsidR="006E2F70">
        <w:rPr>
          <w:rFonts w:ascii="Verdana" w:eastAsia="Times New Roman" w:hAnsi="Verdana" w:cs="Times New Roman"/>
          <w:sz w:val="18"/>
          <w:szCs w:val="18"/>
        </w:rPr>
        <w:t>bazda</w:t>
      </w:r>
      <w:proofErr w:type="gramEnd"/>
      <w:r w:rsidR="006E2F70">
        <w:rPr>
          <w:rFonts w:ascii="Verdana" w:eastAsia="Times New Roman" w:hAnsi="Verdana" w:cs="Times New Roman"/>
          <w:sz w:val="18"/>
          <w:szCs w:val="18"/>
        </w:rPr>
        <w:t xml:space="preserve"> en büyük gerileme i</w:t>
      </w:r>
      <w:r w:rsidR="00D75A8F">
        <w:rPr>
          <w:rFonts w:ascii="Verdana" w:eastAsia="Times New Roman" w:hAnsi="Verdana" w:cs="Times New Roman"/>
          <w:sz w:val="18"/>
          <w:szCs w:val="18"/>
        </w:rPr>
        <w:t xml:space="preserve">nanç kategorisinde yayımlanan kitaplarda gözlemlenmiştir. </w:t>
      </w:r>
    </w:p>
    <w:p w:rsidR="00FE367E" w:rsidRDefault="00FE367E" w:rsidP="00E26581">
      <w:pPr>
        <w:jc w:val="both"/>
        <w:rPr>
          <w:rFonts w:ascii="Verdana" w:eastAsia="Times New Roman" w:hAnsi="Verdana" w:cs="Times New Roman"/>
          <w:sz w:val="18"/>
          <w:szCs w:val="18"/>
        </w:rPr>
      </w:pPr>
    </w:p>
    <w:tbl>
      <w:tblPr>
        <w:tblW w:w="6095" w:type="pct"/>
        <w:tblInd w:w="-1064" w:type="dxa"/>
        <w:tblCellMar>
          <w:left w:w="70" w:type="dxa"/>
          <w:right w:w="70" w:type="dxa"/>
        </w:tblCellMar>
        <w:tblLook w:val="04A0" w:firstRow="1" w:lastRow="0" w:firstColumn="1" w:lastColumn="0" w:noHBand="0" w:noVBand="1"/>
      </w:tblPr>
      <w:tblGrid>
        <w:gridCol w:w="1750"/>
        <w:gridCol w:w="1202"/>
        <w:gridCol w:w="1179"/>
        <w:gridCol w:w="1179"/>
        <w:gridCol w:w="1296"/>
        <w:gridCol w:w="1085"/>
        <w:gridCol w:w="1177"/>
        <w:gridCol w:w="1067"/>
        <w:gridCol w:w="1294"/>
      </w:tblGrid>
      <w:tr w:rsidR="0064663B" w:rsidRPr="00196E7F" w:rsidTr="00175DC3">
        <w:trPr>
          <w:trHeight w:val="1407"/>
        </w:trPr>
        <w:tc>
          <w:tcPr>
            <w:tcW w:w="779" w:type="pct"/>
            <w:tcBorders>
              <w:top w:val="nil"/>
              <w:left w:val="nil"/>
              <w:bottom w:val="single" w:sz="4" w:space="0" w:color="auto"/>
              <w:right w:val="nil"/>
            </w:tcBorders>
            <w:shd w:val="clear" w:color="auto" w:fill="auto"/>
            <w:noWrap/>
            <w:vAlign w:val="bottom"/>
            <w:hideMark/>
          </w:tcPr>
          <w:p w:rsidR="0064663B" w:rsidRPr="00196E7F" w:rsidRDefault="0064663B" w:rsidP="003467EB">
            <w:pPr>
              <w:spacing w:after="0" w:line="240" w:lineRule="auto"/>
              <w:rPr>
                <w:rFonts w:ascii="Calibri" w:eastAsia="Times New Roman" w:hAnsi="Calibri" w:cs="Times New Roman"/>
                <w:color w:val="000000"/>
                <w:lang w:eastAsia="tr-TR"/>
              </w:rPr>
            </w:pPr>
          </w:p>
        </w:tc>
        <w:tc>
          <w:tcPr>
            <w:tcW w:w="535" w:type="pct"/>
            <w:tcBorders>
              <w:top w:val="single" w:sz="8" w:space="0" w:color="auto"/>
              <w:left w:val="single" w:sz="8" w:space="0" w:color="auto"/>
              <w:bottom w:val="single" w:sz="4" w:space="0" w:color="auto"/>
              <w:right w:val="single" w:sz="8" w:space="0" w:color="000000"/>
            </w:tcBorders>
            <w:shd w:val="clear" w:color="000000" w:fill="FFFF00"/>
            <w:vAlign w:val="center"/>
            <w:hideMark/>
          </w:tcPr>
          <w:p w:rsidR="0064663B" w:rsidRPr="00196E7F" w:rsidRDefault="0064663B" w:rsidP="003467EB">
            <w:pPr>
              <w:spacing w:after="0" w:line="240" w:lineRule="auto"/>
              <w:jc w:val="center"/>
              <w:rPr>
                <w:rFonts w:ascii="Calibri" w:eastAsia="Times New Roman" w:hAnsi="Calibri" w:cs="Times New Roman"/>
                <w:b/>
                <w:bCs/>
                <w:color w:val="000000"/>
                <w:lang w:eastAsia="tr-TR"/>
              </w:rPr>
            </w:pPr>
            <w:r w:rsidRPr="00196E7F">
              <w:rPr>
                <w:rFonts w:ascii="Calibri" w:eastAsia="Times New Roman" w:hAnsi="Calibri" w:cs="Times New Roman"/>
                <w:b/>
                <w:bCs/>
                <w:color w:val="000000"/>
                <w:lang w:eastAsia="tr-TR"/>
              </w:rPr>
              <w:t>Yetişkin</w:t>
            </w:r>
            <w:r w:rsidRPr="00196E7F">
              <w:rPr>
                <w:rFonts w:ascii="Calibri" w:eastAsia="Times New Roman" w:hAnsi="Calibri" w:cs="Times New Roman"/>
                <w:b/>
                <w:bCs/>
                <w:color w:val="000000"/>
                <w:lang w:eastAsia="tr-TR"/>
              </w:rPr>
              <w:br/>
              <w:t>(Araştırma, inceleme vb.)</w:t>
            </w:r>
          </w:p>
        </w:tc>
        <w:tc>
          <w:tcPr>
            <w:tcW w:w="525" w:type="pct"/>
            <w:tcBorders>
              <w:top w:val="single" w:sz="8" w:space="0" w:color="auto"/>
              <w:left w:val="nil"/>
              <w:bottom w:val="single" w:sz="4" w:space="0" w:color="auto"/>
              <w:right w:val="single" w:sz="8" w:space="0" w:color="000000"/>
            </w:tcBorders>
            <w:shd w:val="clear" w:color="000000" w:fill="FFFF00"/>
            <w:vAlign w:val="center"/>
            <w:hideMark/>
          </w:tcPr>
          <w:p w:rsidR="0064663B" w:rsidRPr="00196E7F" w:rsidRDefault="0064663B" w:rsidP="003467EB">
            <w:pPr>
              <w:spacing w:after="0" w:line="240" w:lineRule="auto"/>
              <w:jc w:val="center"/>
              <w:rPr>
                <w:rFonts w:ascii="Calibri" w:eastAsia="Times New Roman" w:hAnsi="Calibri" w:cs="Times New Roman"/>
                <w:b/>
                <w:bCs/>
                <w:color w:val="000000"/>
                <w:lang w:eastAsia="tr-TR"/>
              </w:rPr>
            </w:pPr>
            <w:r w:rsidRPr="00196E7F">
              <w:rPr>
                <w:rFonts w:ascii="Calibri" w:eastAsia="Times New Roman" w:hAnsi="Calibri" w:cs="Times New Roman"/>
                <w:b/>
                <w:bCs/>
                <w:color w:val="000000"/>
                <w:lang w:eastAsia="tr-TR"/>
              </w:rPr>
              <w:t>Yetişkin Kurgu</w:t>
            </w:r>
            <w:r w:rsidRPr="00196E7F">
              <w:rPr>
                <w:rFonts w:ascii="Calibri" w:eastAsia="Times New Roman" w:hAnsi="Calibri" w:cs="Times New Roman"/>
                <w:b/>
                <w:bCs/>
                <w:color w:val="000000"/>
                <w:lang w:eastAsia="tr-TR"/>
              </w:rPr>
              <w:br/>
              <w:t>(Edebiyat, sanat vb.)</w:t>
            </w:r>
          </w:p>
        </w:tc>
        <w:tc>
          <w:tcPr>
            <w:tcW w:w="525" w:type="pct"/>
            <w:tcBorders>
              <w:top w:val="single" w:sz="8" w:space="0" w:color="auto"/>
              <w:left w:val="nil"/>
              <w:bottom w:val="single" w:sz="4" w:space="0" w:color="auto"/>
              <w:right w:val="single" w:sz="8" w:space="0" w:color="000000"/>
            </w:tcBorders>
            <w:shd w:val="clear" w:color="000000" w:fill="FFFF00"/>
            <w:vAlign w:val="center"/>
            <w:hideMark/>
          </w:tcPr>
          <w:p w:rsidR="0064663B" w:rsidRPr="00196E7F" w:rsidRDefault="0064663B" w:rsidP="003467EB">
            <w:pPr>
              <w:spacing w:after="0" w:line="240" w:lineRule="auto"/>
              <w:jc w:val="center"/>
              <w:rPr>
                <w:rFonts w:ascii="Calibri" w:eastAsia="Times New Roman" w:hAnsi="Calibri" w:cs="Times New Roman"/>
                <w:b/>
                <w:bCs/>
                <w:color w:val="000000"/>
                <w:lang w:eastAsia="tr-TR"/>
              </w:rPr>
            </w:pPr>
            <w:r w:rsidRPr="00196E7F">
              <w:rPr>
                <w:rFonts w:ascii="Calibri" w:eastAsia="Times New Roman" w:hAnsi="Calibri" w:cs="Times New Roman"/>
                <w:b/>
                <w:bCs/>
                <w:color w:val="000000"/>
                <w:lang w:eastAsia="tr-TR"/>
              </w:rPr>
              <w:t>Çocuk-Gençlik</w:t>
            </w:r>
          </w:p>
        </w:tc>
        <w:tc>
          <w:tcPr>
            <w:tcW w:w="577" w:type="pct"/>
            <w:tcBorders>
              <w:top w:val="single" w:sz="8" w:space="0" w:color="auto"/>
              <w:left w:val="nil"/>
              <w:bottom w:val="single" w:sz="4" w:space="0" w:color="auto"/>
              <w:right w:val="single" w:sz="8" w:space="0" w:color="000000"/>
            </w:tcBorders>
            <w:shd w:val="clear" w:color="000000" w:fill="FFFF00"/>
            <w:vAlign w:val="center"/>
            <w:hideMark/>
          </w:tcPr>
          <w:p w:rsidR="0064663B" w:rsidRPr="00196E7F" w:rsidRDefault="0064663B" w:rsidP="003467EB">
            <w:pPr>
              <w:spacing w:after="0" w:line="240" w:lineRule="auto"/>
              <w:jc w:val="center"/>
              <w:rPr>
                <w:rFonts w:ascii="Calibri" w:eastAsia="Times New Roman" w:hAnsi="Calibri" w:cs="Times New Roman"/>
                <w:b/>
                <w:bCs/>
                <w:color w:val="000000"/>
                <w:lang w:eastAsia="tr-TR"/>
              </w:rPr>
            </w:pPr>
            <w:r w:rsidRPr="00196E7F">
              <w:rPr>
                <w:rFonts w:ascii="Calibri" w:eastAsia="Times New Roman" w:hAnsi="Calibri" w:cs="Times New Roman"/>
                <w:b/>
                <w:bCs/>
                <w:color w:val="000000"/>
                <w:lang w:eastAsia="tr-TR"/>
              </w:rPr>
              <w:t>Eğitim</w:t>
            </w:r>
          </w:p>
        </w:tc>
        <w:tc>
          <w:tcPr>
            <w:tcW w:w="483" w:type="pct"/>
            <w:tcBorders>
              <w:top w:val="single" w:sz="8" w:space="0" w:color="auto"/>
              <w:left w:val="nil"/>
              <w:bottom w:val="single" w:sz="4" w:space="0" w:color="auto"/>
              <w:right w:val="single" w:sz="8" w:space="0" w:color="000000"/>
            </w:tcBorders>
            <w:shd w:val="clear" w:color="000000" w:fill="FFFF00"/>
            <w:vAlign w:val="center"/>
            <w:hideMark/>
          </w:tcPr>
          <w:p w:rsidR="0064663B" w:rsidRPr="00196E7F" w:rsidRDefault="0064663B" w:rsidP="003467EB">
            <w:pPr>
              <w:spacing w:after="0" w:line="240" w:lineRule="auto"/>
              <w:jc w:val="center"/>
              <w:rPr>
                <w:rFonts w:ascii="Calibri" w:eastAsia="Times New Roman" w:hAnsi="Calibri" w:cs="Times New Roman"/>
                <w:b/>
                <w:bCs/>
                <w:color w:val="000000"/>
                <w:lang w:eastAsia="tr-TR"/>
              </w:rPr>
            </w:pPr>
            <w:r w:rsidRPr="00196E7F">
              <w:rPr>
                <w:rFonts w:ascii="Calibri" w:eastAsia="Times New Roman" w:hAnsi="Calibri" w:cs="Times New Roman"/>
                <w:b/>
                <w:bCs/>
                <w:color w:val="000000"/>
                <w:lang w:eastAsia="tr-TR"/>
              </w:rPr>
              <w:t>Akademik</w:t>
            </w:r>
          </w:p>
        </w:tc>
        <w:tc>
          <w:tcPr>
            <w:tcW w:w="524" w:type="pct"/>
            <w:tcBorders>
              <w:top w:val="single" w:sz="8" w:space="0" w:color="auto"/>
              <w:left w:val="nil"/>
              <w:bottom w:val="single" w:sz="4" w:space="0" w:color="auto"/>
              <w:right w:val="single" w:sz="8" w:space="0" w:color="000000"/>
            </w:tcBorders>
            <w:shd w:val="clear" w:color="000000" w:fill="FFFF00"/>
            <w:vAlign w:val="center"/>
            <w:hideMark/>
          </w:tcPr>
          <w:p w:rsidR="0064663B" w:rsidRPr="00196E7F" w:rsidRDefault="0064663B" w:rsidP="003467EB">
            <w:pPr>
              <w:spacing w:after="0" w:line="240" w:lineRule="auto"/>
              <w:jc w:val="center"/>
              <w:rPr>
                <w:rFonts w:ascii="Calibri" w:eastAsia="Times New Roman" w:hAnsi="Calibri" w:cs="Times New Roman"/>
                <w:b/>
                <w:bCs/>
                <w:color w:val="000000"/>
                <w:lang w:eastAsia="tr-TR"/>
              </w:rPr>
            </w:pPr>
            <w:r w:rsidRPr="00196E7F">
              <w:rPr>
                <w:rFonts w:ascii="Calibri" w:eastAsia="Times New Roman" w:hAnsi="Calibri" w:cs="Times New Roman"/>
                <w:b/>
                <w:bCs/>
                <w:color w:val="000000"/>
                <w:lang w:eastAsia="tr-TR"/>
              </w:rPr>
              <w:t>İnanç</w:t>
            </w:r>
            <w:r w:rsidRPr="00196E7F">
              <w:rPr>
                <w:rFonts w:ascii="Calibri" w:eastAsia="Times New Roman" w:hAnsi="Calibri" w:cs="Times New Roman"/>
                <w:b/>
                <w:bCs/>
                <w:color w:val="000000"/>
                <w:lang w:eastAsia="tr-TR"/>
              </w:rPr>
              <w:br/>
              <w:t>(Her türlü dini yayın)</w:t>
            </w:r>
          </w:p>
        </w:tc>
        <w:tc>
          <w:tcPr>
            <w:tcW w:w="475" w:type="pct"/>
            <w:tcBorders>
              <w:top w:val="single" w:sz="8" w:space="0" w:color="auto"/>
              <w:left w:val="nil"/>
              <w:bottom w:val="single" w:sz="4" w:space="0" w:color="auto"/>
              <w:right w:val="single" w:sz="8" w:space="0" w:color="auto"/>
            </w:tcBorders>
            <w:shd w:val="clear" w:color="000000" w:fill="FFFF00"/>
            <w:vAlign w:val="center"/>
            <w:hideMark/>
          </w:tcPr>
          <w:p w:rsidR="0064663B" w:rsidRPr="00196E7F" w:rsidRDefault="0064663B" w:rsidP="003467EB">
            <w:pPr>
              <w:spacing w:after="0" w:line="240" w:lineRule="auto"/>
              <w:jc w:val="center"/>
              <w:rPr>
                <w:rFonts w:ascii="Calibri" w:eastAsia="Times New Roman" w:hAnsi="Calibri" w:cs="Times New Roman"/>
                <w:b/>
                <w:bCs/>
                <w:color w:val="000000"/>
                <w:lang w:eastAsia="tr-TR"/>
              </w:rPr>
            </w:pPr>
            <w:r w:rsidRPr="00196E7F">
              <w:rPr>
                <w:rFonts w:ascii="Calibri" w:eastAsia="Times New Roman" w:hAnsi="Calibri" w:cs="Times New Roman"/>
                <w:b/>
                <w:bCs/>
                <w:color w:val="000000"/>
                <w:lang w:eastAsia="tr-TR"/>
              </w:rPr>
              <w:t>İthal</w:t>
            </w:r>
          </w:p>
        </w:tc>
        <w:tc>
          <w:tcPr>
            <w:tcW w:w="576" w:type="pct"/>
            <w:tcBorders>
              <w:top w:val="single" w:sz="8" w:space="0" w:color="auto"/>
              <w:left w:val="nil"/>
              <w:bottom w:val="single" w:sz="4" w:space="0" w:color="auto"/>
              <w:right w:val="single" w:sz="8" w:space="0" w:color="auto"/>
            </w:tcBorders>
            <w:shd w:val="clear" w:color="000000" w:fill="FFFF00"/>
            <w:vAlign w:val="center"/>
            <w:hideMark/>
          </w:tcPr>
          <w:p w:rsidR="0064663B" w:rsidRPr="00196E7F" w:rsidRDefault="0064663B" w:rsidP="003467EB">
            <w:pPr>
              <w:spacing w:after="0" w:line="240" w:lineRule="auto"/>
              <w:jc w:val="center"/>
              <w:rPr>
                <w:rFonts w:ascii="Calibri" w:eastAsia="Times New Roman" w:hAnsi="Calibri" w:cs="Times New Roman"/>
                <w:b/>
                <w:bCs/>
                <w:color w:val="000000"/>
                <w:lang w:eastAsia="tr-TR"/>
              </w:rPr>
            </w:pPr>
            <w:r w:rsidRPr="00196E7F">
              <w:rPr>
                <w:rFonts w:ascii="Calibri" w:eastAsia="Times New Roman" w:hAnsi="Calibri" w:cs="Times New Roman"/>
                <w:b/>
                <w:bCs/>
                <w:color w:val="000000"/>
                <w:lang w:eastAsia="tr-TR"/>
              </w:rPr>
              <w:t>Genel Toplam</w:t>
            </w:r>
          </w:p>
        </w:tc>
      </w:tr>
      <w:tr w:rsidR="0064663B" w:rsidRPr="00196E7F" w:rsidTr="00175DC3">
        <w:trPr>
          <w:trHeight w:val="689"/>
        </w:trPr>
        <w:tc>
          <w:tcPr>
            <w:tcW w:w="779" w:type="pct"/>
            <w:tcBorders>
              <w:top w:val="single" w:sz="4" w:space="0" w:color="auto"/>
              <w:left w:val="single" w:sz="4" w:space="0" w:color="auto"/>
              <w:bottom w:val="single" w:sz="4" w:space="0" w:color="auto"/>
              <w:right w:val="single" w:sz="4" w:space="0" w:color="auto"/>
            </w:tcBorders>
            <w:shd w:val="clear" w:color="000000" w:fill="F2DCDB"/>
            <w:vAlign w:val="center"/>
            <w:hideMark/>
          </w:tcPr>
          <w:p w:rsidR="0064663B" w:rsidRPr="00196E7F" w:rsidRDefault="00175DC3" w:rsidP="003467EB">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2019 Ocak-Aralık</w:t>
            </w:r>
          </w:p>
        </w:tc>
        <w:tc>
          <w:tcPr>
            <w:tcW w:w="535"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175DC3" w:rsidP="003467EB">
            <w:pPr>
              <w:spacing w:after="0" w:line="240" w:lineRule="auto"/>
              <w:jc w:val="center"/>
              <w:rPr>
                <w:rFonts w:ascii="Calibri" w:eastAsia="Times New Roman" w:hAnsi="Calibri" w:cs="Times New Roman"/>
                <w:b/>
                <w:bCs/>
                <w:color w:val="000000"/>
                <w:lang w:eastAsia="tr-TR"/>
              </w:rPr>
            </w:pPr>
            <w:r w:rsidRPr="00175DC3">
              <w:rPr>
                <w:rFonts w:ascii="Calibri" w:eastAsia="Times New Roman" w:hAnsi="Calibri" w:cs="Times New Roman"/>
                <w:b/>
                <w:bCs/>
                <w:color w:val="C00000"/>
                <w:lang w:eastAsia="tr-TR"/>
              </w:rPr>
              <w:t>79.387.610</w:t>
            </w:r>
          </w:p>
        </w:tc>
        <w:tc>
          <w:tcPr>
            <w:tcW w:w="525"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175DC3" w:rsidP="003467EB">
            <w:pPr>
              <w:spacing w:after="0" w:line="240" w:lineRule="auto"/>
              <w:jc w:val="center"/>
              <w:rPr>
                <w:rFonts w:ascii="Calibri" w:eastAsia="Times New Roman" w:hAnsi="Calibri" w:cs="Times New Roman"/>
                <w:b/>
                <w:bCs/>
                <w:color w:val="000000"/>
                <w:lang w:eastAsia="tr-TR"/>
              </w:rPr>
            </w:pPr>
            <w:r w:rsidRPr="00175DC3">
              <w:rPr>
                <w:rFonts w:ascii="Calibri" w:eastAsia="Times New Roman" w:hAnsi="Calibri" w:cs="Times New Roman"/>
                <w:b/>
                <w:bCs/>
                <w:color w:val="C00000"/>
                <w:lang w:eastAsia="tr-TR"/>
              </w:rPr>
              <w:t>27.303.062</w:t>
            </w:r>
          </w:p>
        </w:tc>
        <w:tc>
          <w:tcPr>
            <w:tcW w:w="525"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175DC3" w:rsidP="003467EB">
            <w:pPr>
              <w:spacing w:after="0" w:line="240" w:lineRule="auto"/>
              <w:jc w:val="center"/>
              <w:rPr>
                <w:rFonts w:ascii="Calibri" w:eastAsia="Times New Roman" w:hAnsi="Calibri" w:cs="Times New Roman"/>
                <w:b/>
                <w:bCs/>
                <w:color w:val="000000"/>
                <w:lang w:eastAsia="tr-TR"/>
              </w:rPr>
            </w:pPr>
            <w:r w:rsidRPr="00175DC3">
              <w:rPr>
                <w:rFonts w:ascii="Calibri" w:eastAsia="Times New Roman" w:hAnsi="Calibri" w:cs="Times New Roman"/>
                <w:b/>
                <w:bCs/>
                <w:color w:val="000000"/>
                <w:lang w:eastAsia="tr-TR"/>
              </w:rPr>
              <w:t>41.271.110</w:t>
            </w:r>
          </w:p>
        </w:tc>
        <w:tc>
          <w:tcPr>
            <w:tcW w:w="577"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175DC3" w:rsidP="003467EB">
            <w:pPr>
              <w:spacing w:after="0" w:line="240" w:lineRule="auto"/>
              <w:jc w:val="center"/>
              <w:rPr>
                <w:rFonts w:ascii="Calibri" w:eastAsia="Times New Roman" w:hAnsi="Calibri" w:cs="Times New Roman"/>
                <w:b/>
                <w:bCs/>
                <w:color w:val="000000"/>
                <w:lang w:eastAsia="tr-TR"/>
              </w:rPr>
            </w:pPr>
            <w:r w:rsidRPr="00175DC3">
              <w:rPr>
                <w:rFonts w:ascii="Calibri" w:eastAsia="Times New Roman" w:hAnsi="Calibri" w:cs="Times New Roman"/>
                <w:b/>
                <w:bCs/>
                <w:color w:val="C00000"/>
                <w:lang w:eastAsia="tr-TR"/>
              </w:rPr>
              <w:t>228.559.913</w:t>
            </w:r>
          </w:p>
        </w:tc>
        <w:tc>
          <w:tcPr>
            <w:tcW w:w="483"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175DC3" w:rsidP="003467EB">
            <w:pPr>
              <w:spacing w:after="0" w:line="240" w:lineRule="auto"/>
              <w:jc w:val="center"/>
              <w:rPr>
                <w:rFonts w:ascii="Calibri" w:eastAsia="Times New Roman" w:hAnsi="Calibri" w:cs="Times New Roman"/>
                <w:b/>
                <w:bCs/>
                <w:color w:val="000000"/>
                <w:lang w:eastAsia="tr-TR"/>
              </w:rPr>
            </w:pPr>
            <w:r w:rsidRPr="00175DC3">
              <w:rPr>
                <w:rFonts w:ascii="Calibri" w:eastAsia="Times New Roman" w:hAnsi="Calibri" w:cs="Times New Roman"/>
                <w:b/>
                <w:bCs/>
                <w:color w:val="C00000"/>
                <w:lang w:eastAsia="tr-TR"/>
              </w:rPr>
              <w:t>4.890.495</w:t>
            </w:r>
          </w:p>
        </w:tc>
        <w:tc>
          <w:tcPr>
            <w:tcW w:w="524"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175DC3" w:rsidP="003467EB">
            <w:pPr>
              <w:spacing w:after="0" w:line="240" w:lineRule="auto"/>
              <w:jc w:val="center"/>
              <w:rPr>
                <w:rFonts w:ascii="Calibri" w:eastAsia="Times New Roman" w:hAnsi="Calibri" w:cs="Times New Roman"/>
                <w:b/>
                <w:bCs/>
                <w:color w:val="000000"/>
                <w:lang w:eastAsia="tr-TR"/>
              </w:rPr>
            </w:pPr>
            <w:r w:rsidRPr="00175DC3">
              <w:rPr>
                <w:rFonts w:ascii="Calibri" w:eastAsia="Times New Roman" w:hAnsi="Calibri" w:cs="Times New Roman"/>
                <w:b/>
                <w:bCs/>
                <w:color w:val="000000"/>
                <w:lang w:eastAsia="tr-TR"/>
              </w:rPr>
              <w:t>36.899.907</w:t>
            </w:r>
          </w:p>
        </w:tc>
        <w:tc>
          <w:tcPr>
            <w:tcW w:w="475"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175DC3" w:rsidP="003467EB">
            <w:pPr>
              <w:spacing w:after="0" w:line="240" w:lineRule="auto"/>
              <w:rPr>
                <w:rFonts w:ascii="Calibri" w:eastAsia="Times New Roman" w:hAnsi="Calibri" w:cs="Times New Roman"/>
                <w:b/>
                <w:bCs/>
                <w:color w:val="000000"/>
                <w:lang w:eastAsia="tr-TR"/>
              </w:rPr>
            </w:pPr>
            <w:r w:rsidRPr="00175DC3">
              <w:rPr>
                <w:rFonts w:ascii="Calibri" w:eastAsia="Times New Roman" w:hAnsi="Calibri" w:cs="Times New Roman"/>
                <w:b/>
                <w:bCs/>
                <w:color w:val="000000"/>
                <w:lang w:eastAsia="tr-TR"/>
              </w:rPr>
              <w:t>5.290.731</w:t>
            </w:r>
          </w:p>
        </w:tc>
        <w:tc>
          <w:tcPr>
            <w:tcW w:w="576"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175DC3" w:rsidP="003467EB">
            <w:pPr>
              <w:spacing w:after="0" w:line="240" w:lineRule="auto"/>
              <w:jc w:val="center"/>
              <w:rPr>
                <w:rFonts w:ascii="Calibri" w:eastAsia="Times New Roman" w:hAnsi="Calibri" w:cs="Times New Roman"/>
                <w:b/>
                <w:bCs/>
                <w:color w:val="C00000"/>
                <w:lang w:eastAsia="tr-TR"/>
              </w:rPr>
            </w:pPr>
            <w:r w:rsidRPr="00175DC3">
              <w:rPr>
                <w:rFonts w:ascii="Calibri" w:eastAsia="Times New Roman" w:hAnsi="Calibri" w:cs="Times New Roman"/>
                <w:b/>
                <w:bCs/>
                <w:color w:val="C00000"/>
                <w:lang w:eastAsia="tr-TR"/>
              </w:rPr>
              <w:t>423.602.828</w:t>
            </w:r>
          </w:p>
        </w:tc>
      </w:tr>
      <w:tr w:rsidR="0064663B" w:rsidRPr="00196E7F" w:rsidTr="00175DC3">
        <w:trPr>
          <w:trHeight w:val="705"/>
        </w:trPr>
        <w:tc>
          <w:tcPr>
            <w:tcW w:w="779" w:type="pct"/>
            <w:tcBorders>
              <w:top w:val="single" w:sz="4" w:space="0" w:color="auto"/>
              <w:left w:val="single" w:sz="4" w:space="0" w:color="auto"/>
              <w:bottom w:val="single" w:sz="4" w:space="0" w:color="auto"/>
              <w:right w:val="single" w:sz="4" w:space="0" w:color="auto"/>
            </w:tcBorders>
            <w:shd w:val="clear" w:color="000000" w:fill="F2DCDB"/>
            <w:vAlign w:val="center"/>
            <w:hideMark/>
          </w:tcPr>
          <w:p w:rsidR="0064663B" w:rsidRPr="00196E7F" w:rsidRDefault="00175DC3" w:rsidP="003467EB">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2018 Ocak-Aralık</w:t>
            </w:r>
          </w:p>
        </w:tc>
        <w:tc>
          <w:tcPr>
            <w:tcW w:w="535"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175DC3" w:rsidP="003467EB">
            <w:pPr>
              <w:spacing w:after="0" w:line="240" w:lineRule="auto"/>
              <w:jc w:val="center"/>
              <w:rPr>
                <w:rFonts w:ascii="Calibri" w:eastAsia="Times New Roman" w:hAnsi="Calibri" w:cs="Times New Roman"/>
                <w:b/>
                <w:bCs/>
                <w:color w:val="000000"/>
                <w:lang w:eastAsia="tr-TR"/>
              </w:rPr>
            </w:pPr>
            <w:r w:rsidRPr="00175DC3">
              <w:rPr>
                <w:rFonts w:ascii="Calibri" w:eastAsia="Times New Roman" w:hAnsi="Calibri" w:cs="Times New Roman"/>
                <w:b/>
                <w:bCs/>
                <w:color w:val="000000"/>
                <w:lang w:eastAsia="tr-TR"/>
              </w:rPr>
              <w:t>74.484.289</w:t>
            </w:r>
          </w:p>
        </w:tc>
        <w:tc>
          <w:tcPr>
            <w:tcW w:w="525"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175DC3" w:rsidP="003467EB">
            <w:pPr>
              <w:spacing w:after="0" w:line="240" w:lineRule="auto"/>
              <w:jc w:val="center"/>
              <w:rPr>
                <w:rFonts w:ascii="Calibri" w:eastAsia="Times New Roman" w:hAnsi="Calibri" w:cs="Times New Roman"/>
                <w:b/>
                <w:bCs/>
                <w:color w:val="000000"/>
                <w:lang w:eastAsia="tr-TR"/>
              </w:rPr>
            </w:pPr>
            <w:r w:rsidRPr="00175DC3">
              <w:rPr>
                <w:rFonts w:ascii="Calibri" w:eastAsia="Times New Roman" w:hAnsi="Calibri" w:cs="Times New Roman"/>
                <w:b/>
                <w:bCs/>
                <w:color w:val="000000"/>
                <w:lang w:eastAsia="tr-TR"/>
              </w:rPr>
              <w:t>24.719.651</w:t>
            </w:r>
          </w:p>
        </w:tc>
        <w:tc>
          <w:tcPr>
            <w:tcW w:w="525"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175DC3" w:rsidP="003467EB">
            <w:pPr>
              <w:spacing w:after="0" w:line="240" w:lineRule="auto"/>
              <w:jc w:val="center"/>
              <w:rPr>
                <w:rFonts w:ascii="Calibri" w:eastAsia="Times New Roman" w:hAnsi="Calibri" w:cs="Times New Roman"/>
                <w:b/>
                <w:bCs/>
                <w:color w:val="000000"/>
                <w:lang w:eastAsia="tr-TR"/>
              </w:rPr>
            </w:pPr>
            <w:r w:rsidRPr="00175DC3">
              <w:rPr>
                <w:rFonts w:ascii="Calibri" w:eastAsia="Times New Roman" w:hAnsi="Calibri" w:cs="Times New Roman"/>
                <w:b/>
                <w:bCs/>
                <w:color w:val="C00000"/>
                <w:lang w:eastAsia="tr-TR"/>
              </w:rPr>
              <w:t>41.273.395</w:t>
            </w:r>
          </w:p>
        </w:tc>
        <w:tc>
          <w:tcPr>
            <w:tcW w:w="577"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175DC3" w:rsidP="003467EB">
            <w:pPr>
              <w:spacing w:after="0" w:line="240" w:lineRule="auto"/>
              <w:jc w:val="center"/>
              <w:rPr>
                <w:rFonts w:ascii="Calibri" w:eastAsia="Times New Roman" w:hAnsi="Calibri" w:cs="Times New Roman"/>
                <w:b/>
                <w:bCs/>
                <w:color w:val="000000"/>
                <w:lang w:eastAsia="tr-TR"/>
              </w:rPr>
            </w:pPr>
            <w:r w:rsidRPr="00175DC3">
              <w:rPr>
                <w:rFonts w:ascii="Calibri" w:eastAsia="Times New Roman" w:hAnsi="Calibri" w:cs="Times New Roman"/>
                <w:b/>
                <w:bCs/>
                <w:color w:val="000000"/>
                <w:lang w:eastAsia="tr-TR"/>
              </w:rPr>
              <w:t>215.370.387</w:t>
            </w:r>
          </w:p>
        </w:tc>
        <w:tc>
          <w:tcPr>
            <w:tcW w:w="483"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175DC3" w:rsidP="003467EB">
            <w:pPr>
              <w:spacing w:after="0" w:line="240" w:lineRule="auto"/>
              <w:jc w:val="center"/>
              <w:rPr>
                <w:rFonts w:ascii="Calibri" w:eastAsia="Times New Roman" w:hAnsi="Calibri" w:cs="Times New Roman"/>
                <w:b/>
                <w:bCs/>
                <w:color w:val="000000"/>
                <w:lang w:eastAsia="tr-TR"/>
              </w:rPr>
            </w:pPr>
            <w:r w:rsidRPr="00175DC3">
              <w:rPr>
                <w:rFonts w:ascii="Calibri" w:eastAsia="Times New Roman" w:hAnsi="Calibri" w:cs="Times New Roman"/>
                <w:b/>
                <w:bCs/>
                <w:color w:val="000000"/>
                <w:lang w:eastAsia="tr-TR"/>
              </w:rPr>
              <w:t>4.461.008</w:t>
            </w:r>
          </w:p>
        </w:tc>
        <w:tc>
          <w:tcPr>
            <w:tcW w:w="524"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175DC3" w:rsidP="003467EB">
            <w:pPr>
              <w:spacing w:after="0" w:line="240" w:lineRule="auto"/>
              <w:jc w:val="center"/>
              <w:rPr>
                <w:rFonts w:ascii="Calibri" w:eastAsia="Times New Roman" w:hAnsi="Calibri" w:cs="Times New Roman"/>
                <w:b/>
                <w:bCs/>
                <w:color w:val="000000"/>
                <w:lang w:eastAsia="tr-TR"/>
              </w:rPr>
            </w:pPr>
            <w:r w:rsidRPr="00175DC3">
              <w:rPr>
                <w:rFonts w:ascii="Calibri" w:eastAsia="Times New Roman" w:hAnsi="Calibri" w:cs="Times New Roman"/>
                <w:b/>
                <w:bCs/>
                <w:color w:val="C00000"/>
                <w:lang w:eastAsia="tr-TR"/>
              </w:rPr>
              <w:t>44.431.096</w:t>
            </w:r>
          </w:p>
        </w:tc>
        <w:tc>
          <w:tcPr>
            <w:tcW w:w="475"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175DC3" w:rsidP="003467EB">
            <w:pPr>
              <w:spacing w:after="0" w:line="240" w:lineRule="auto"/>
              <w:rPr>
                <w:rFonts w:ascii="Calibri" w:eastAsia="Times New Roman" w:hAnsi="Calibri" w:cs="Times New Roman"/>
                <w:b/>
                <w:bCs/>
                <w:color w:val="000000"/>
                <w:lang w:eastAsia="tr-TR"/>
              </w:rPr>
            </w:pPr>
            <w:r w:rsidRPr="00175DC3">
              <w:rPr>
                <w:rFonts w:ascii="Calibri" w:eastAsia="Times New Roman" w:hAnsi="Calibri" w:cs="Times New Roman"/>
                <w:b/>
                <w:bCs/>
                <w:color w:val="C00000"/>
                <w:lang w:eastAsia="tr-TR"/>
              </w:rPr>
              <w:t>5.901.479</w:t>
            </w:r>
          </w:p>
        </w:tc>
        <w:tc>
          <w:tcPr>
            <w:tcW w:w="576"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175DC3" w:rsidP="003467EB">
            <w:pPr>
              <w:spacing w:after="0" w:line="240" w:lineRule="auto"/>
              <w:jc w:val="center"/>
              <w:rPr>
                <w:rFonts w:ascii="Calibri" w:eastAsia="Times New Roman" w:hAnsi="Calibri" w:cs="Times New Roman"/>
                <w:b/>
                <w:bCs/>
                <w:color w:val="000000"/>
                <w:lang w:eastAsia="tr-TR"/>
              </w:rPr>
            </w:pPr>
            <w:r w:rsidRPr="00175DC3">
              <w:rPr>
                <w:rFonts w:ascii="Calibri" w:eastAsia="Times New Roman" w:hAnsi="Calibri" w:cs="Times New Roman"/>
                <w:b/>
                <w:bCs/>
                <w:color w:val="000000"/>
                <w:lang w:eastAsia="tr-TR"/>
              </w:rPr>
              <w:t>410.641.305</w:t>
            </w:r>
          </w:p>
        </w:tc>
      </w:tr>
      <w:tr w:rsidR="00175DC3" w:rsidRPr="00196E7F" w:rsidTr="00175DC3">
        <w:trPr>
          <w:trHeight w:val="550"/>
        </w:trPr>
        <w:tc>
          <w:tcPr>
            <w:tcW w:w="779" w:type="pct"/>
            <w:tcBorders>
              <w:top w:val="single" w:sz="4" w:space="0" w:color="auto"/>
              <w:left w:val="single" w:sz="4" w:space="0" w:color="auto"/>
              <w:bottom w:val="single" w:sz="4" w:space="0" w:color="auto"/>
              <w:right w:val="single" w:sz="4" w:space="0" w:color="auto"/>
            </w:tcBorders>
            <w:shd w:val="clear" w:color="000000" w:fill="F2DCDB"/>
            <w:vAlign w:val="center"/>
          </w:tcPr>
          <w:p w:rsidR="00175DC3" w:rsidRDefault="00175DC3" w:rsidP="003467EB">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Değişim(%)</w:t>
            </w:r>
          </w:p>
        </w:tc>
        <w:tc>
          <w:tcPr>
            <w:tcW w:w="535"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175DC3" w:rsidRPr="00175DC3" w:rsidRDefault="00625D8F" w:rsidP="00625D8F">
            <w:pPr>
              <w:spacing w:after="0" w:line="240" w:lineRule="auto"/>
              <w:jc w:val="center"/>
              <w:rPr>
                <w:rFonts w:ascii="Calibri" w:eastAsia="Times New Roman" w:hAnsi="Calibri" w:cs="Times New Roman"/>
                <w:b/>
                <w:bCs/>
                <w:color w:val="000000"/>
                <w:lang w:eastAsia="tr-TR"/>
              </w:rPr>
            </w:pPr>
            <w:r w:rsidRPr="00625D8F">
              <w:rPr>
                <w:rFonts w:ascii="Calibri" w:eastAsia="Times New Roman" w:hAnsi="Calibri" w:cs="Times New Roman"/>
                <w:b/>
                <w:bCs/>
                <w:color w:val="FF0000"/>
                <w:lang w:eastAsia="tr-TR"/>
              </w:rPr>
              <w:t>%6,5</w:t>
            </w:r>
          </w:p>
        </w:tc>
        <w:tc>
          <w:tcPr>
            <w:tcW w:w="525"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175DC3" w:rsidRPr="00175DC3" w:rsidRDefault="00625D8F" w:rsidP="00625D8F">
            <w:pPr>
              <w:spacing w:after="0" w:line="240" w:lineRule="auto"/>
              <w:jc w:val="center"/>
              <w:rPr>
                <w:rFonts w:ascii="Calibri" w:eastAsia="Times New Roman" w:hAnsi="Calibri" w:cs="Times New Roman"/>
                <w:b/>
                <w:bCs/>
                <w:color w:val="000000"/>
                <w:lang w:eastAsia="tr-TR"/>
              </w:rPr>
            </w:pPr>
            <w:r w:rsidRPr="00625D8F">
              <w:rPr>
                <w:rFonts w:ascii="Calibri" w:eastAsia="Times New Roman" w:hAnsi="Calibri" w:cs="Times New Roman"/>
                <w:b/>
                <w:bCs/>
                <w:color w:val="FF0000"/>
                <w:lang w:eastAsia="tr-TR"/>
              </w:rPr>
              <w:t>%10,4</w:t>
            </w:r>
          </w:p>
        </w:tc>
        <w:tc>
          <w:tcPr>
            <w:tcW w:w="525"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175DC3" w:rsidRPr="00175DC3" w:rsidRDefault="00625D8F" w:rsidP="00625D8F">
            <w:pPr>
              <w:spacing w:after="0" w:line="240" w:lineRule="auto"/>
              <w:jc w:val="center"/>
              <w:rPr>
                <w:rFonts w:ascii="Calibri" w:eastAsia="Times New Roman" w:hAnsi="Calibri" w:cs="Times New Roman"/>
                <w:b/>
                <w:bCs/>
                <w:color w:val="C00000"/>
                <w:lang w:eastAsia="tr-TR"/>
              </w:rPr>
            </w:pPr>
            <w:r w:rsidRPr="00625D8F">
              <w:rPr>
                <w:rFonts w:ascii="Calibri" w:eastAsia="Times New Roman" w:hAnsi="Calibri" w:cs="Times New Roman"/>
                <w:b/>
                <w:bCs/>
                <w:lang w:eastAsia="tr-TR"/>
              </w:rPr>
              <w:t>%0</w:t>
            </w:r>
          </w:p>
        </w:tc>
        <w:tc>
          <w:tcPr>
            <w:tcW w:w="577"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175DC3" w:rsidRPr="00175DC3" w:rsidRDefault="00625D8F" w:rsidP="00625D8F">
            <w:pPr>
              <w:spacing w:after="0" w:line="240" w:lineRule="auto"/>
              <w:jc w:val="center"/>
              <w:rPr>
                <w:rFonts w:ascii="Calibri" w:eastAsia="Times New Roman" w:hAnsi="Calibri" w:cs="Times New Roman"/>
                <w:b/>
                <w:bCs/>
                <w:color w:val="000000"/>
                <w:lang w:eastAsia="tr-TR"/>
              </w:rPr>
            </w:pPr>
            <w:r w:rsidRPr="00625D8F">
              <w:rPr>
                <w:rFonts w:ascii="Calibri" w:eastAsia="Times New Roman" w:hAnsi="Calibri" w:cs="Times New Roman"/>
                <w:b/>
                <w:bCs/>
                <w:color w:val="FF0000"/>
                <w:lang w:eastAsia="tr-TR"/>
              </w:rPr>
              <w:t>%6</w:t>
            </w:r>
          </w:p>
        </w:tc>
        <w:tc>
          <w:tcPr>
            <w:tcW w:w="483"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175DC3" w:rsidRPr="00175DC3" w:rsidRDefault="00625D8F" w:rsidP="00625D8F">
            <w:pPr>
              <w:spacing w:after="0" w:line="240" w:lineRule="auto"/>
              <w:jc w:val="center"/>
              <w:rPr>
                <w:rFonts w:ascii="Calibri" w:eastAsia="Times New Roman" w:hAnsi="Calibri" w:cs="Times New Roman"/>
                <w:b/>
                <w:bCs/>
                <w:color w:val="000000"/>
                <w:lang w:eastAsia="tr-TR"/>
              </w:rPr>
            </w:pPr>
            <w:r w:rsidRPr="00625D8F">
              <w:rPr>
                <w:rFonts w:ascii="Calibri" w:eastAsia="Times New Roman" w:hAnsi="Calibri" w:cs="Times New Roman"/>
                <w:b/>
                <w:bCs/>
                <w:color w:val="FF0000"/>
                <w:lang w:eastAsia="tr-TR"/>
              </w:rPr>
              <w:t>%9,6</w:t>
            </w:r>
          </w:p>
        </w:tc>
        <w:tc>
          <w:tcPr>
            <w:tcW w:w="524"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175DC3" w:rsidRPr="00175DC3" w:rsidRDefault="00625D8F" w:rsidP="00625D8F">
            <w:pPr>
              <w:spacing w:after="0" w:line="240" w:lineRule="auto"/>
              <w:jc w:val="center"/>
              <w:rPr>
                <w:rFonts w:ascii="Calibri" w:eastAsia="Times New Roman" w:hAnsi="Calibri" w:cs="Times New Roman"/>
                <w:b/>
                <w:bCs/>
                <w:color w:val="C00000"/>
                <w:lang w:eastAsia="tr-TR"/>
              </w:rPr>
            </w:pPr>
            <w:r w:rsidRPr="00625D8F">
              <w:rPr>
                <w:rFonts w:ascii="Calibri" w:eastAsia="Times New Roman" w:hAnsi="Calibri" w:cs="Times New Roman"/>
                <w:b/>
                <w:bCs/>
                <w:lang w:eastAsia="tr-TR"/>
              </w:rPr>
              <w:t>-%17</w:t>
            </w:r>
          </w:p>
        </w:tc>
        <w:tc>
          <w:tcPr>
            <w:tcW w:w="475"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175DC3" w:rsidRPr="00175DC3" w:rsidRDefault="00625D8F" w:rsidP="00625D8F">
            <w:pPr>
              <w:spacing w:after="0" w:line="240" w:lineRule="auto"/>
              <w:jc w:val="center"/>
              <w:rPr>
                <w:rFonts w:ascii="Calibri" w:eastAsia="Times New Roman" w:hAnsi="Calibri" w:cs="Times New Roman"/>
                <w:b/>
                <w:bCs/>
                <w:color w:val="C00000"/>
                <w:lang w:eastAsia="tr-TR"/>
              </w:rPr>
            </w:pPr>
            <w:r>
              <w:rPr>
                <w:rFonts w:ascii="Calibri" w:eastAsia="Times New Roman" w:hAnsi="Calibri" w:cs="Times New Roman"/>
                <w:b/>
                <w:bCs/>
                <w:lang w:eastAsia="tr-TR"/>
              </w:rPr>
              <w:t>-</w:t>
            </w:r>
            <w:r w:rsidRPr="00625D8F">
              <w:rPr>
                <w:rFonts w:ascii="Calibri" w:eastAsia="Times New Roman" w:hAnsi="Calibri" w:cs="Times New Roman"/>
                <w:b/>
                <w:bCs/>
                <w:lang w:eastAsia="tr-TR"/>
              </w:rPr>
              <w:t>%10,5</w:t>
            </w:r>
          </w:p>
        </w:tc>
        <w:tc>
          <w:tcPr>
            <w:tcW w:w="576"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175DC3" w:rsidRPr="00175DC3" w:rsidRDefault="00625D8F" w:rsidP="003467EB">
            <w:pPr>
              <w:spacing w:after="0" w:line="240" w:lineRule="auto"/>
              <w:jc w:val="center"/>
              <w:rPr>
                <w:rFonts w:ascii="Calibri" w:eastAsia="Times New Roman" w:hAnsi="Calibri" w:cs="Times New Roman"/>
                <w:b/>
                <w:bCs/>
                <w:color w:val="000000"/>
                <w:lang w:eastAsia="tr-TR"/>
              </w:rPr>
            </w:pPr>
            <w:r w:rsidRPr="00625D8F">
              <w:rPr>
                <w:rFonts w:ascii="Calibri" w:eastAsia="Times New Roman" w:hAnsi="Calibri" w:cs="Times New Roman"/>
                <w:b/>
                <w:bCs/>
                <w:color w:val="FF0000"/>
                <w:lang w:eastAsia="tr-TR"/>
              </w:rPr>
              <w:t>%3,16</w:t>
            </w:r>
          </w:p>
        </w:tc>
      </w:tr>
    </w:tbl>
    <w:p w:rsidR="00E26581" w:rsidRDefault="00E26581" w:rsidP="00E26581">
      <w:pPr>
        <w:jc w:val="both"/>
        <w:rPr>
          <w:rFonts w:ascii="Verdana" w:eastAsia="Times New Roman" w:hAnsi="Verdana" w:cs="Times New Roman"/>
          <w:sz w:val="18"/>
          <w:szCs w:val="18"/>
        </w:rPr>
      </w:pPr>
    </w:p>
    <w:p w:rsidR="00E26581" w:rsidRPr="00E26581" w:rsidRDefault="00E26581" w:rsidP="00E26581">
      <w:pPr>
        <w:jc w:val="both"/>
        <w:rPr>
          <w:rFonts w:ascii="Arial" w:eastAsia="Times New Roman" w:hAnsi="Arial" w:cs="Arial"/>
          <w:color w:val="891C02"/>
          <w:kern w:val="36"/>
          <w:sz w:val="28"/>
          <w:szCs w:val="33"/>
        </w:rPr>
      </w:pPr>
    </w:p>
    <w:p w:rsidR="00D62706" w:rsidRDefault="00151FD1" w:rsidP="00D62706">
      <w:pPr>
        <w:shd w:val="clear" w:color="auto" w:fill="FFFFFF"/>
        <w:spacing w:after="150" w:line="240" w:lineRule="auto"/>
        <w:jc w:val="both"/>
        <w:rPr>
          <w:rFonts w:ascii="Verdana" w:eastAsia="Times New Roman" w:hAnsi="Verdana" w:cs="Times New Roman"/>
          <w:sz w:val="18"/>
          <w:szCs w:val="18"/>
        </w:rPr>
      </w:pPr>
      <w:r>
        <w:rPr>
          <w:noProof/>
          <w:lang w:eastAsia="tr-TR"/>
        </w:rPr>
        <w:drawing>
          <wp:inline distT="0" distB="0" distL="0" distR="0" wp14:anchorId="22DB305F" wp14:editId="76CFBE1E">
            <wp:extent cx="4781550" cy="3095625"/>
            <wp:effectExtent l="0" t="0" r="19050" b="9525"/>
            <wp:docPr id="1" name="Grafik 1" title="YIL: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62706" w:rsidRDefault="00D62706" w:rsidP="00D62706">
      <w:pPr>
        <w:rPr>
          <w:color w:val="FF0000"/>
        </w:rPr>
      </w:pPr>
    </w:p>
    <w:p w:rsidR="003346A4" w:rsidRDefault="003346A4" w:rsidP="00D62706">
      <w:pPr>
        <w:rPr>
          <w:color w:val="FF0000"/>
        </w:rPr>
      </w:pPr>
    </w:p>
    <w:p w:rsidR="003346A4" w:rsidRDefault="003346A4" w:rsidP="00D62706">
      <w:pPr>
        <w:rPr>
          <w:color w:val="FF0000"/>
        </w:rPr>
      </w:pPr>
    </w:p>
    <w:p w:rsidR="003346A4" w:rsidRDefault="003346A4" w:rsidP="00D62706">
      <w:pPr>
        <w:rPr>
          <w:color w:val="FF0000"/>
        </w:rPr>
      </w:pPr>
    </w:p>
    <w:p w:rsidR="003346A4" w:rsidRDefault="003346A4" w:rsidP="00D62706">
      <w:pPr>
        <w:rPr>
          <w:color w:val="FF0000"/>
        </w:rPr>
      </w:pPr>
    </w:p>
    <w:p w:rsidR="003346A4" w:rsidRDefault="003346A4" w:rsidP="00D62706">
      <w:pPr>
        <w:rPr>
          <w:color w:val="FF0000"/>
        </w:rPr>
      </w:pPr>
    </w:p>
    <w:p w:rsidR="003346A4" w:rsidRDefault="003346A4" w:rsidP="00D62706">
      <w:pPr>
        <w:rPr>
          <w:color w:val="FF0000"/>
        </w:rPr>
      </w:pPr>
    </w:p>
    <w:p w:rsidR="00CA6E88" w:rsidRDefault="00CA6E88" w:rsidP="00D62706">
      <w:pPr>
        <w:rPr>
          <w:color w:val="FF0000"/>
        </w:rPr>
      </w:pPr>
    </w:p>
    <w:p w:rsidR="00CA6E88" w:rsidRDefault="00CA6E88" w:rsidP="00D62706">
      <w:pPr>
        <w:rPr>
          <w:color w:val="FF0000"/>
        </w:rPr>
      </w:pPr>
    </w:p>
    <w:p w:rsidR="00444D31" w:rsidRDefault="00444D31">
      <w:pPr>
        <w:rPr>
          <w:noProof/>
          <w:lang w:eastAsia="tr-TR"/>
        </w:rPr>
      </w:pPr>
    </w:p>
    <w:sectPr w:rsidR="00444D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B04"/>
    <w:rsid w:val="000166A8"/>
    <w:rsid w:val="0002656E"/>
    <w:rsid w:val="00032C4E"/>
    <w:rsid w:val="00033C7C"/>
    <w:rsid w:val="00053191"/>
    <w:rsid w:val="00074D68"/>
    <w:rsid w:val="00083A1D"/>
    <w:rsid w:val="000C011E"/>
    <w:rsid w:val="000D6502"/>
    <w:rsid w:val="00104A93"/>
    <w:rsid w:val="00125E28"/>
    <w:rsid w:val="00151FD1"/>
    <w:rsid w:val="00154CAF"/>
    <w:rsid w:val="001758D4"/>
    <w:rsid w:val="00175DC3"/>
    <w:rsid w:val="001863AA"/>
    <w:rsid w:val="0019051F"/>
    <w:rsid w:val="00194DA0"/>
    <w:rsid w:val="001A772F"/>
    <w:rsid w:val="001F67A6"/>
    <w:rsid w:val="0020054A"/>
    <w:rsid w:val="002066F4"/>
    <w:rsid w:val="0023483D"/>
    <w:rsid w:val="0023500F"/>
    <w:rsid w:val="00276749"/>
    <w:rsid w:val="00281D6A"/>
    <w:rsid w:val="002A2C9B"/>
    <w:rsid w:val="002A2E2B"/>
    <w:rsid w:val="002B0478"/>
    <w:rsid w:val="002D7A18"/>
    <w:rsid w:val="002E32BC"/>
    <w:rsid w:val="002E3EA8"/>
    <w:rsid w:val="0031518D"/>
    <w:rsid w:val="003346A4"/>
    <w:rsid w:val="00345C02"/>
    <w:rsid w:val="0035424F"/>
    <w:rsid w:val="0036350A"/>
    <w:rsid w:val="00374ED7"/>
    <w:rsid w:val="00376D47"/>
    <w:rsid w:val="00383770"/>
    <w:rsid w:val="003B0EB1"/>
    <w:rsid w:val="003D7CDF"/>
    <w:rsid w:val="003E0DD5"/>
    <w:rsid w:val="003E326F"/>
    <w:rsid w:val="003E54AE"/>
    <w:rsid w:val="00432021"/>
    <w:rsid w:val="00444D31"/>
    <w:rsid w:val="00450763"/>
    <w:rsid w:val="00497C31"/>
    <w:rsid w:val="00497D8E"/>
    <w:rsid w:val="004D29BD"/>
    <w:rsid w:val="004F1288"/>
    <w:rsid w:val="005007A3"/>
    <w:rsid w:val="00511AAC"/>
    <w:rsid w:val="00540B04"/>
    <w:rsid w:val="00541D4F"/>
    <w:rsid w:val="005D3313"/>
    <w:rsid w:val="005E3C41"/>
    <w:rsid w:val="005F278B"/>
    <w:rsid w:val="00625B69"/>
    <w:rsid w:val="00625D8F"/>
    <w:rsid w:val="0064663B"/>
    <w:rsid w:val="00680EFE"/>
    <w:rsid w:val="00685ED2"/>
    <w:rsid w:val="00692582"/>
    <w:rsid w:val="006943B7"/>
    <w:rsid w:val="006A77BC"/>
    <w:rsid w:val="006B32CC"/>
    <w:rsid w:val="006C7CFB"/>
    <w:rsid w:val="006D5917"/>
    <w:rsid w:val="006E02A5"/>
    <w:rsid w:val="006E2F70"/>
    <w:rsid w:val="006E3530"/>
    <w:rsid w:val="006F01AD"/>
    <w:rsid w:val="00724778"/>
    <w:rsid w:val="0076750F"/>
    <w:rsid w:val="00775674"/>
    <w:rsid w:val="007B197A"/>
    <w:rsid w:val="007C396E"/>
    <w:rsid w:val="008025CB"/>
    <w:rsid w:val="00885624"/>
    <w:rsid w:val="008A2D1D"/>
    <w:rsid w:val="008C19BD"/>
    <w:rsid w:val="008C5FA2"/>
    <w:rsid w:val="008D68CD"/>
    <w:rsid w:val="008E424A"/>
    <w:rsid w:val="009666B2"/>
    <w:rsid w:val="009718F7"/>
    <w:rsid w:val="00995A6C"/>
    <w:rsid w:val="009B3156"/>
    <w:rsid w:val="00A15C34"/>
    <w:rsid w:val="00A3026F"/>
    <w:rsid w:val="00A7075A"/>
    <w:rsid w:val="00AA3A9A"/>
    <w:rsid w:val="00AA4E3C"/>
    <w:rsid w:val="00AB0BF7"/>
    <w:rsid w:val="00AC1FB0"/>
    <w:rsid w:val="00AF2B81"/>
    <w:rsid w:val="00AF4086"/>
    <w:rsid w:val="00B404EC"/>
    <w:rsid w:val="00BD35C9"/>
    <w:rsid w:val="00C2192F"/>
    <w:rsid w:val="00C247AF"/>
    <w:rsid w:val="00C45D48"/>
    <w:rsid w:val="00C90D88"/>
    <w:rsid w:val="00CA6E88"/>
    <w:rsid w:val="00CC7989"/>
    <w:rsid w:val="00D27449"/>
    <w:rsid w:val="00D3213A"/>
    <w:rsid w:val="00D33355"/>
    <w:rsid w:val="00D467DE"/>
    <w:rsid w:val="00D51727"/>
    <w:rsid w:val="00D55792"/>
    <w:rsid w:val="00D62706"/>
    <w:rsid w:val="00D75A8F"/>
    <w:rsid w:val="00DA5D27"/>
    <w:rsid w:val="00DE21E9"/>
    <w:rsid w:val="00E16BE5"/>
    <w:rsid w:val="00E26581"/>
    <w:rsid w:val="00E45076"/>
    <w:rsid w:val="00E55E45"/>
    <w:rsid w:val="00E62B25"/>
    <w:rsid w:val="00EF4F9F"/>
    <w:rsid w:val="00EF5627"/>
    <w:rsid w:val="00F52D4E"/>
    <w:rsid w:val="00F53714"/>
    <w:rsid w:val="00F769E6"/>
    <w:rsid w:val="00FB5122"/>
    <w:rsid w:val="00FC15DD"/>
    <w:rsid w:val="00FE08C2"/>
    <w:rsid w:val="00FE367E"/>
    <w:rsid w:val="00FE6755"/>
    <w:rsid w:val="00FF70BB"/>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706"/>
  </w:style>
  <w:style w:type="paragraph" w:styleId="Balk1">
    <w:name w:val="heading 1"/>
    <w:basedOn w:val="Normal"/>
    <w:next w:val="Normal"/>
    <w:link w:val="Balk1Char"/>
    <w:uiPriority w:val="9"/>
    <w:qFormat/>
    <w:rsid w:val="001863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863AA"/>
    <w:rPr>
      <w:rFonts w:asciiTheme="majorHAnsi" w:eastAsiaTheme="majorEastAsia" w:hAnsiTheme="majorHAnsi" w:cstheme="majorBidi"/>
      <w:b/>
      <w:bCs/>
      <w:color w:val="365F91" w:themeColor="accent1" w:themeShade="BF"/>
      <w:sz w:val="28"/>
      <w:szCs w:val="28"/>
    </w:rPr>
  </w:style>
  <w:style w:type="paragraph" w:styleId="BalonMetni">
    <w:name w:val="Balloon Text"/>
    <w:basedOn w:val="Normal"/>
    <w:link w:val="BalonMetniChar"/>
    <w:uiPriority w:val="99"/>
    <w:semiHidden/>
    <w:unhideWhenUsed/>
    <w:rsid w:val="00E450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50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706"/>
  </w:style>
  <w:style w:type="paragraph" w:styleId="Balk1">
    <w:name w:val="heading 1"/>
    <w:basedOn w:val="Normal"/>
    <w:next w:val="Normal"/>
    <w:link w:val="Balk1Char"/>
    <w:uiPriority w:val="9"/>
    <w:qFormat/>
    <w:rsid w:val="001863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863AA"/>
    <w:rPr>
      <w:rFonts w:asciiTheme="majorHAnsi" w:eastAsiaTheme="majorEastAsia" w:hAnsiTheme="majorHAnsi" w:cstheme="majorBidi"/>
      <w:b/>
      <w:bCs/>
      <w:color w:val="365F91" w:themeColor="accent1" w:themeShade="BF"/>
      <w:sz w:val="28"/>
      <w:szCs w:val="28"/>
    </w:rPr>
  </w:style>
  <w:style w:type="paragraph" w:styleId="BalonMetni">
    <w:name w:val="Balloon Text"/>
    <w:basedOn w:val="Normal"/>
    <w:link w:val="BalonMetniChar"/>
    <w:uiPriority w:val="99"/>
    <w:semiHidden/>
    <w:unhideWhenUsed/>
    <w:rsid w:val="00E450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50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622330">
      <w:bodyDiv w:val="1"/>
      <w:marLeft w:val="0"/>
      <w:marRight w:val="0"/>
      <w:marTop w:val="0"/>
      <w:marBottom w:val="0"/>
      <w:divBdr>
        <w:top w:val="none" w:sz="0" w:space="0" w:color="auto"/>
        <w:left w:val="none" w:sz="0" w:space="0" w:color="auto"/>
        <w:bottom w:val="none" w:sz="0" w:space="0" w:color="auto"/>
        <w:right w:val="none" w:sz="0" w:space="0" w:color="auto"/>
      </w:divBdr>
    </w:div>
    <w:div w:id="1184634956">
      <w:bodyDiv w:val="1"/>
      <w:marLeft w:val="0"/>
      <w:marRight w:val="0"/>
      <w:marTop w:val="0"/>
      <w:marBottom w:val="0"/>
      <w:divBdr>
        <w:top w:val="none" w:sz="0" w:space="0" w:color="auto"/>
        <w:left w:val="none" w:sz="0" w:space="0" w:color="auto"/>
        <w:bottom w:val="none" w:sz="0" w:space="0" w:color="auto"/>
        <w:right w:val="none" w:sz="0" w:space="0" w:color="auto"/>
      </w:divBdr>
    </w:div>
    <w:div w:id="1539269958">
      <w:bodyDiv w:val="1"/>
      <w:marLeft w:val="0"/>
      <w:marRight w:val="0"/>
      <w:marTop w:val="0"/>
      <w:marBottom w:val="0"/>
      <w:divBdr>
        <w:top w:val="none" w:sz="0" w:space="0" w:color="auto"/>
        <w:left w:val="none" w:sz="0" w:space="0" w:color="auto"/>
        <w:bottom w:val="none" w:sz="0" w:space="0" w:color="auto"/>
        <w:right w:val="none" w:sz="0" w:space="0" w:color="auto"/>
      </w:divBdr>
    </w:div>
    <w:div w:id="192179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chart" Target="charts/chart2.xml"/><Relationship Id="rId5"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YAVUZ%20SAYKI\Desktop\YAYFED\Bandrolsat&#305;&#351;\ESER%20KATEGOR&#304;%20%202015graf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140"/>
      <c:rAngAx val="1"/>
    </c:view3D>
    <c:floor>
      <c:thickness val="0"/>
    </c:floor>
    <c:sideWall>
      <c:thickness val="0"/>
      <c:spPr>
        <a:pattFill prst="pct10">
          <a:fgClr>
            <a:schemeClr val="accent1"/>
          </a:fgClr>
          <a:bgClr>
            <a:schemeClr val="bg1"/>
          </a:bgClr>
        </a:pattFill>
      </c:spPr>
    </c:sideWall>
    <c:backWall>
      <c:thickness val="0"/>
      <c:spPr>
        <a:pattFill prst="pct10">
          <a:fgClr>
            <a:schemeClr val="accent1"/>
          </a:fgClr>
          <a:bgClr>
            <a:schemeClr val="bg1"/>
          </a:bgClr>
        </a:pattFill>
      </c:spPr>
    </c:backWall>
    <c:plotArea>
      <c:layout>
        <c:manualLayout>
          <c:layoutTarget val="inner"/>
          <c:xMode val="edge"/>
          <c:yMode val="edge"/>
          <c:x val="0.15697649414729892"/>
          <c:y val="0.14505605403975666"/>
          <c:w val="0.74995183805375398"/>
          <c:h val="0.74796150481189849"/>
        </c:manualLayout>
      </c:layout>
      <c:bar3DChart>
        <c:barDir val="col"/>
        <c:grouping val="clustered"/>
        <c:varyColors val="0"/>
        <c:ser>
          <c:idx val="0"/>
          <c:order val="0"/>
          <c:spPr>
            <a:pattFill prst="dkDnDiag">
              <a:fgClr>
                <a:schemeClr val="accent1"/>
              </a:fgClr>
              <a:bgClr>
                <a:schemeClr val="bg1"/>
              </a:bgClr>
            </a:pattFill>
            <a:ln w="19050">
              <a:solidFill>
                <a:schemeClr val="accent2">
                  <a:lumMod val="75000"/>
                </a:schemeClr>
              </a:solidFill>
            </a:ln>
            <a:effectLst>
              <a:outerShdw blurRad="50800" dist="38100" dir="2700000" algn="tl" rotWithShape="0">
                <a:schemeClr val="tx1">
                  <a:alpha val="34000"/>
                </a:schemeClr>
              </a:outerShdw>
            </a:effectLst>
          </c:spPr>
          <c:invertIfNegative val="0"/>
          <c:dLbls>
            <c:dLbl>
              <c:idx val="0"/>
              <c:layout>
                <c:manualLayout>
                  <c:x val="1.4922722455155456E-2"/>
                  <c:y val="0"/>
                </c:manualLayout>
              </c:layout>
              <c:tx>
                <c:rich>
                  <a:bodyPr/>
                  <a:lstStyle/>
                  <a:p>
                    <a:r>
                      <a:rPr lang="tr-TR" sz="800" baseline="0"/>
                      <a:t>18,7 </a:t>
                    </a:r>
                    <a:r>
                      <a:rPr lang="tr-TR" sz="800"/>
                      <a:t>M</a:t>
                    </a:r>
                    <a:endParaRPr lang="en-US"/>
                  </a:p>
                </c:rich>
              </c:tx>
              <c:showLegendKey val="0"/>
              <c:showVal val="1"/>
              <c:showCatName val="0"/>
              <c:showSerName val="0"/>
              <c:showPercent val="0"/>
              <c:showBubbleSize val="0"/>
            </c:dLbl>
            <c:dLbl>
              <c:idx val="1"/>
              <c:layout>
                <c:manualLayout>
                  <c:x val="1.0621151188160927E-2"/>
                  <c:y val="7.5145645553995676E-5"/>
                </c:manualLayout>
              </c:layout>
              <c:tx>
                <c:rich>
                  <a:bodyPr/>
                  <a:lstStyle/>
                  <a:p>
                    <a:r>
                      <a:rPr lang="tr-TR" sz="800"/>
                      <a:t>17,8M</a:t>
                    </a:r>
                    <a:endParaRPr lang="en-US"/>
                  </a:p>
                </c:rich>
              </c:tx>
              <c:showLegendKey val="0"/>
              <c:showVal val="1"/>
              <c:showCatName val="0"/>
              <c:showSerName val="0"/>
              <c:showPercent val="0"/>
              <c:showBubbleSize val="0"/>
            </c:dLbl>
            <c:dLbl>
              <c:idx val="2"/>
              <c:layout>
                <c:manualLayout>
                  <c:x val="8.5009160100836638E-3"/>
                  <c:y val="5.6372798361445126E-4"/>
                </c:manualLayout>
              </c:layout>
              <c:tx>
                <c:rich>
                  <a:bodyPr/>
                  <a:lstStyle/>
                  <a:p>
                    <a:r>
                      <a:rPr lang="tr-TR" sz="800"/>
                      <a:t>24,4M</a:t>
                    </a:r>
                    <a:endParaRPr lang="en-US"/>
                  </a:p>
                </c:rich>
              </c:tx>
              <c:showLegendKey val="0"/>
              <c:showVal val="1"/>
              <c:showCatName val="0"/>
              <c:showSerName val="0"/>
              <c:showPercent val="0"/>
              <c:showBubbleSize val="0"/>
            </c:dLbl>
            <c:dLbl>
              <c:idx val="3"/>
              <c:layout>
                <c:manualLayout>
                  <c:x val="2.1451099223895364E-3"/>
                  <c:y val="-1.0046186087204216E-2"/>
                </c:manualLayout>
              </c:layout>
              <c:tx>
                <c:rich>
                  <a:bodyPr/>
                  <a:lstStyle/>
                  <a:p>
                    <a:r>
                      <a:rPr lang="tr-TR" sz="800"/>
                      <a:t>24,7M</a:t>
                    </a:r>
                    <a:endParaRPr lang="en-US"/>
                  </a:p>
                </c:rich>
              </c:tx>
              <c:showLegendKey val="0"/>
              <c:showVal val="1"/>
              <c:showCatName val="0"/>
              <c:showSerName val="0"/>
              <c:showPercent val="0"/>
              <c:showBubbleSize val="0"/>
            </c:dLbl>
            <c:dLbl>
              <c:idx val="4"/>
              <c:layout>
                <c:manualLayout>
                  <c:x val="1.071364185264676E-2"/>
                  <c:y val="3.3563246454658283E-3"/>
                </c:manualLayout>
              </c:layout>
              <c:tx>
                <c:rich>
                  <a:bodyPr/>
                  <a:lstStyle/>
                  <a:p>
                    <a:r>
                      <a:rPr lang="tr-TR" sz="800"/>
                      <a:t>24,3M</a:t>
                    </a:r>
                    <a:endParaRPr lang="en-US"/>
                  </a:p>
                </c:rich>
              </c:tx>
              <c:showLegendKey val="0"/>
              <c:showVal val="1"/>
              <c:showCatName val="0"/>
              <c:showSerName val="0"/>
              <c:showPercent val="0"/>
              <c:showBubbleSize val="0"/>
            </c:dLbl>
            <c:dLbl>
              <c:idx val="5"/>
              <c:layout>
                <c:manualLayout>
                  <c:x val="8.5150162202775118E-3"/>
                  <c:y val="6.5685975299599178E-3"/>
                </c:manualLayout>
              </c:layout>
              <c:tx>
                <c:rich>
                  <a:bodyPr/>
                  <a:lstStyle/>
                  <a:p>
                    <a:r>
                      <a:rPr lang="tr-TR" sz="800"/>
                      <a:t>24,3M</a:t>
                    </a:r>
                    <a:endParaRPr lang="en-US"/>
                  </a:p>
                </c:rich>
              </c:tx>
              <c:showLegendKey val="0"/>
              <c:showVal val="1"/>
              <c:showCatName val="0"/>
              <c:showSerName val="0"/>
              <c:showPercent val="0"/>
              <c:showBubbleSize val="0"/>
            </c:dLbl>
            <c:dLbl>
              <c:idx val="6"/>
              <c:layout>
                <c:manualLayout>
                  <c:x val="1.280988964189785E-2"/>
                  <c:y val="6.9720801414874557E-3"/>
                </c:manualLayout>
              </c:layout>
              <c:tx>
                <c:rich>
                  <a:bodyPr/>
                  <a:lstStyle/>
                  <a:p>
                    <a:r>
                      <a:rPr lang="tr-TR" sz="800"/>
                      <a:t>25,8M</a:t>
                    </a:r>
                    <a:endParaRPr lang="en-US"/>
                  </a:p>
                </c:rich>
              </c:tx>
              <c:showLegendKey val="0"/>
              <c:showVal val="1"/>
              <c:showCatName val="0"/>
              <c:showSerName val="0"/>
              <c:showPercent val="0"/>
              <c:showBubbleSize val="0"/>
            </c:dLbl>
            <c:dLbl>
              <c:idx val="7"/>
              <c:layout>
                <c:manualLayout>
                  <c:x val="1.2866393258464644E-2"/>
                  <c:y val="-6.9984074708184865E-3"/>
                </c:manualLayout>
              </c:layout>
              <c:tx>
                <c:rich>
                  <a:bodyPr/>
                  <a:lstStyle/>
                  <a:p>
                    <a:r>
                      <a:rPr lang="tr-TR" sz="800"/>
                      <a:t>22,7M</a:t>
                    </a:r>
                    <a:endParaRPr lang="en-US"/>
                  </a:p>
                </c:rich>
              </c:tx>
              <c:showLegendKey val="0"/>
              <c:showVal val="1"/>
              <c:showCatName val="0"/>
              <c:showSerName val="0"/>
              <c:showPercent val="0"/>
              <c:showBubbleSize val="0"/>
            </c:dLbl>
            <c:dLbl>
              <c:idx val="8"/>
              <c:layout>
                <c:manualLayout>
                  <c:x val="1.5031663364867446E-2"/>
                  <c:y val="-3.7515853154014662E-3"/>
                </c:manualLayout>
              </c:layout>
              <c:tx>
                <c:rich>
                  <a:bodyPr/>
                  <a:lstStyle/>
                  <a:p>
                    <a:r>
                      <a:rPr lang="tr-TR" sz="800"/>
                      <a:t>31,5M</a:t>
                    </a:r>
                    <a:endParaRPr lang="en-US"/>
                  </a:p>
                </c:rich>
              </c:tx>
              <c:showLegendKey val="0"/>
              <c:showVal val="1"/>
              <c:showCatName val="0"/>
              <c:showSerName val="0"/>
              <c:showPercent val="0"/>
              <c:showBubbleSize val="0"/>
            </c:dLbl>
            <c:txPr>
              <a:bodyPr/>
              <a:lstStyle/>
              <a:p>
                <a:pPr>
                  <a:defRPr sz="800" baseline="0">
                    <a:latin typeface="Arial Black" panose="020B0A04020102020204" pitchFamily="34" charset="0"/>
                  </a:defRPr>
                </a:pPr>
                <a:endParaRPr lang="tr-TR"/>
              </a:p>
            </c:txPr>
            <c:showLegendKey val="0"/>
            <c:showVal val="1"/>
            <c:showCatName val="0"/>
            <c:showSerName val="0"/>
            <c:showPercent val="0"/>
            <c:showBubbleSize val="0"/>
            <c:showLeaderLines val="0"/>
          </c:dLbls>
          <c:cat>
            <c:numRef>
              <c:f>'MUKAYESELİ SATIŞ RAPORU'!$C$2:$K$2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'MUKAYESELİ SATIŞ RAPORU'!$C$14:$K$14</c:f>
              <c:numCache>
                <c:formatCode>#,##0</c:formatCode>
                <c:ptCount val="9"/>
                <c:pt idx="0">
                  <c:v>18728518</c:v>
                </c:pt>
                <c:pt idx="1">
                  <c:v>17824950</c:v>
                </c:pt>
                <c:pt idx="2">
                  <c:v>24428614</c:v>
                </c:pt>
                <c:pt idx="3">
                  <c:v>24727281</c:v>
                </c:pt>
                <c:pt idx="4">
                  <c:v>24393462</c:v>
                </c:pt>
                <c:pt idx="5">
                  <c:v>24365771</c:v>
                </c:pt>
                <c:pt idx="6">
                  <c:v>25857759</c:v>
                </c:pt>
                <c:pt idx="7">
                  <c:v>22714630</c:v>
                </c:pt>
                <c:pt idx="8">
                  <c:v>31578531</c:v>
                </c:pt>
              </c:numCache>
            </c:numRef>
          </c:val>
        </c:ser>
        <c:dLbls>
          <c:showLegendKey val="0"/>
          <c:showVal val="0"/>
          <c:showCatName val="0"/>
          <c:showSerName val="0"/>
          <c:showPercent val="0"/>
          <c:showBubbleSize val="0"/>
        </c:dLbls>
        <c:gapWidth val="150"/>
        <c:shape val="box"/>
        <c:axId val="194339584"/>
        <c:axId val="194342272"/>
        <c:axId val="0"/>
      </c:bar3DChart>
      <c:catAx>
        <c:axId val="194339584"/>
        <c:scaling>
          <c:orientation val="minMax"/>
        </c:scaling>
        <c:delete val="0"/>
        <c:axPos val="b"/>
        <c:numFmt formatCode="General" sourceLinked="1"/>
        <c:majorTickMark val="out"/>
        <c:minorTickMark val="none"/>
        <c:tickLblPos val="nextTo"/>
        <c:txPr>
          <a:bodyPr/>
          <a:lstStyle/>
          <a:p>
            <a:pPr>
              <a:defRPr sz="1200" b="1"/>
            </a:pPr>
            <a:endParaRPr lang="tr-TR"/>
          </a:p>
        </c:txPr>
        <c:crossAx val="194342272"/>
        <c:crosses val="autoZero"/>
        <c:auto val="1"/>
        <c:lblAlgn val="ctr"/>
        <c:lblOffset val="100"/>
        <c:noMultiLvlLbl val="0"/>
      </c:catAx>
      <c:valAx>
        <c:axId val="194342272"/>
        <c:scaling>
          <c:orientation val="minMax"/>
        </c:scaling>
        <c:delete val="0"/>
        <c:axPos val="l"/>
        <c:majorGridlines/>
        <c:numFmt formatCode="#,##0" sourceLinked="1"/>
        <c:majorTickMark val="out"/>
        <c:minorTickMark val="none"/>
        <c:tickLblPos val="nextTo"/>
        <c:txPr>
          <a:bodyPr/>
          <a:lstStyle/>
          <a:p>
            <a:pPr>
              <a:defRPr b="1"/>
            </a:pPr>
            <a:endParaRPr lang="tr-TR"/>
          </a:p>
        </c:txPr>
        <c:crossAx val="194339584"/>
        <c:crosses val="autoZero"/>
        <c:crossBetween val="between"/>
      </c:valAx>
    </c:plotArea>
    <c:plotVisOnly val="1"/>
    <c:dispBlanksAs val="gap"/>
    <c:showDLblsOverMax val="0"/>
  </c:chart>
  <c:spPr>
    <a:solidFill>
      <a:schemeClr val="accent3">
        <a:lumMod val="20000"/>
        <a:lumOff val="80000"/>
      </a:schemeClr>
    </a:solidFill>
    <a:scene3d>
      <a:camera prst="orthographicFront"/>
      <a:lightRig rig="threePt" dir="t"/>
    </a:scene3d>
    <a:sp3d>
      <a:bevelT/>
      <a:bevelB/>
    </a:sp3d>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140"/>
      <c:rAngAx val="1"/>
    </c:view3D>
    <c:floor>
      <c:thickness val="0"/>
    </c:floor>
    <c:sideWall>
      <c:thickness val="0"/>
      <c:spPr>
        <a:pattFill prst="pct10">
          <a:fgClr>
            <a:schemeClr val="accent1"/>
          </a:fgClr>
          <a:bgClr>
            <a:schemeClr val="bg1"/>
          </a:bgClr>
        </a:pattFill>
      </c:spPr>
    </c:sideWall>
    <c:backWall>
      <c:thickness val="0"/>
      <c:spPr>
        <a:pattFill prst="pct10">
          <a:fgClr>
            <a:schemeClr val="accent1"/>
          </a:fgClr>
          <a:bgClr>
            <a:schemeClr val="bg1"/>
          </a:bgClr>
        </a:pattFill>
      </c:spPr>
    </c:backWall>
    <c:plotArea>
      <c:layout>
        <c:manualLayout>
          <c:layoutTarget val="inner"/>
          <c:xMode val="edge"/>
          <c:yMode val="edge"/>
          <c:x val="0.15697649414729892"/>
          <c:y val="0.14505605403975666"/>
          <c:w val="0.74995183805375398"/>
          <c:h val="0.74796150481189849"/>
        </c:manualLayout>
      </c:layout>
      <c:bar3DChart>
        <c:barDir val="col"/>
        <c:grouping val="clustered"/>
        <c:varyColors val="0"/>
        <c:ser>
          <c:idx val="0"/>
          <c:order val="0"/>
          <c:spPr>
            <a:pattFill prst="dkDnDiag">
              <a:fgClr>
                <a:schemeClr val="accent1"/>
              </a:fgClr>
              <a:bgClr>
                <a:schemeClr val="bg1"/>
              </a:bgClr>
            </a:pattFill>
            <a:ln w="19050">
              <a:solidFill>
                <a:schemeClr val="accent2">
                  <a:lumMod val="75000"/>
                </a:schemeClr>
              </a:solidFill>
            </a:ln>
            <a:effectLst>
              <a:outerShdw blurRad="50800" dist="38100" dir="2700000" algn="tl" rotWithShape="0">
                <a:schemeClr val="tx1">
                  <a:alpha val="34000"/>
                </a:schemeClr>
              </a:outerShdw>
            </a:effectLst>
          </c:spPr>
          <c:invertIfNegative val="0"/>
          <c:dLbls>
            <c:dLbl>
              <c:idx val="0"/>
              <c:layout>
                <c:manualLayout>
                  <c:x val="1.4922722455155456E-2"/>
                  <c:y val="0"/>
                </c:manualLayout>
              </c:layout>
              <c:tx>
                <c:rich>
                  <a:bodyPr/>
                  <a:lstStyle/>
                  <a:p>
                    <a:r>
                      <a:rPr lang="tr-TR" sz="800"/>
                      <a:t>289</a:t>
                    </a:r>
                    <a:r>
                      <a:rPr lang="tr-TR" sz="800" baseline="0"/>
                      <a:t> </a:t>
                    </a:r>
                    <a:r>
                      <a:rPr lang="tr-TR" sz="800"/>
                      <a:t>M</a:t>
                    </a:r>
                    <a:endParaRPr lang="en-US"/>
                  </a:p>
                </c:rich>
              </c:tx>
              <c:showLegendKey val="0"/>
              <c:showVal val="1"/>
              <c:showCatName val="0"/>
              <c:showSerName val="0"/>
              <c:showPercent val="0"/>
              <c:showBubbleSize val="0"/>
            </c:dLbl>
            <c:dLbl>
              <c:idx val="1"/>
              <c:layout>
                <c:manualLayout>
                  <c:x val="1.0621151188160927E-2"/>
                  <c:y val="7.5145645553995676E-5"/>
                </c:manualLayout>
              </c:layout>
              <c:tx>
                <c:rich>
                  <a:bodyPr/>
                  <a:lstStyle/>
                  <a:p>
                    <a:r>
                      <a:rPr lang="tr-TR" sz="800"/>
                      <a:t>293M</a:t>
                    </a:r>
                    <a:endParaRPr lang="en-US"/>
                  </a:p>
                </c:rich>
              </c:tx>
              <c:showLegendKey val="0"/>
              <c:showVal val="1"/>
              <c:showCatName val="0"/>
              <c:showSerName val="0"/>
              <c:showPercent val="0"/>
              <c:showBubbleSize val="0"/>
            </c:dLbl>
            <c:dLbl>
              <c:idx val="2"/>
              <c:layout>
                <c:manualLayout>
                  <c:x val="8.5009160100836638E-3"/>
                  <c:y val="5.6372798361445126E-4"/>
                </c:manualLayout>
              </c:layout>
              <c:tx>
                <c:rich>
                  <a:bodyPr/>
                  <a:lstStyle/>
                  <a:p>
                    <a:r>
                      <a:rPr lang="tr-TR" sz="800"/>
                      <a:t>330M</a:t>
                    </a:r>
                    <a:endParaRPr lang="en-US"/>
                  </a:p>
                </c:rich>
              </c:tx>
              <c:showLegendKey val="0"/>
              <c:showVal val="1"/>
              <c:showCatName val="0"/>
              <c:showSerName val="0"/>
              <c:showPercent val="0"/>
              <c:showBubbleSize val="0"/>
            </c:dLbl>
            <c:dLbl>
              <c:idx val="3"/>
              <c:layout>
                <c:manualLayout>
                  <c:x val="2.1451099223895364E-3"/>
                  <c:y val="-1.0046186087204216E-2"/>
                </c:manualLayout>
              </c:layout>
              <c:tx>
                <c:rich>
                  <a:bodyPr/>
                  <a:lstStyle/>
                  <a:p>
                    <a:r>
                      <a:rPr lang="tr-TR" sz="800"/>
                      <a:t>344M</a:t>
                    </a:r>
                    <a:endParaRPr lang="en-US"/>
                  </a:p>
                </c:rich>
              </c:tx>
              <c:showLegendKey val="0"/>
              <c:showVal val="1"/>
              <c:showCatName val="0"/>
              <c:showSerName val="0"/>
              <c:showPercent val="0"/>
              <c:showBubbleSize val="0"/>
            </c:dLbl>
            <c:dLbl>
              <c:idx val="4"/>
              <c:layout>
                <c:manualLayout>
                  <c:x val="1.071364185264676E-2"/>
                  <c:y val="3.3563246454658283E-3"/>
                </c:manualLayout>
              </c:layout>
              <c:tx>
                <c:rich>
                  <a:bodyPr/>
                  <a:lstStyle/>
                  <a:p>
                    <a:r>
                      <a:rPr lang="tr-TR" sz="800"/>
                      <a:t>384M</a:t>
                    </a:r>
                    <a:endParaRPr lang="en-US"/>
                  </a:p>
                </c:rich>
              </c:tx>
              <c:showLegendKey val="0"/>
              <c:showVal val="1"/>
              <c:showCatName val="0"/>
              <c:showSerName val="0"/>
              <c:showPercent val="0"/>
              <c:showBubbleSize val="0"/>
            </c:dLbl>
            <c:dLbl>
              <c:idx val="5"/>
              <c:layout>
                <c:manualLayout>
                  <c:x val="8.5150162202775118E-3"/>
                  <c:y val="6.5685975299599178E-3"/>
                </c:manualLayout>
              </c:layout>
              <c:tx>
                <c:rich>
                  <a:bodyPr/>
                  <a:lstStyle/>
                  <a:p>
                    <a:r>
                      <a:rPr lang="tr-TR" sz="800"/>
                      <a:t>404M</a:t>
                    </a:r>
                    <a:endParaRPr lang="en-US"/>
                  </a:p>
                </c:rich>
              </c:tx>
              <c:showLegendKey val="0"/>
              <c:showVal val="1"/>
              <c:showCatName val="0"/>
              <c:showSerName val="0"/>
              <c:showPercent val="0"/>
              <c:showBubbleSize val="0"/>
            </c:dLbl>
            <c:dLbl>
              <c:idx val="6"/>
              <c:layout>
                <c:manualLayout>
                  <c:x val="1.280988964189785E-2"/>
                  <c:y val="6.9720801414874557E-3"/>
                </c:manualLayout>
              </c:layout>
              <c:tx>
                <c:rich>
                  <a:bodyPr/>
                  <a:lstStyle/>
                  <a:p>
                    <a:r>
                      <a:rPr lang="tr-TR" sz="800"/>
                      <a:t>408M</a:t>
                    </a:r>
                    <a:endParaRPr lang="en-US"/>
                  </a:p>
                </c:rich>
              </c:tx>
              <c:showLegendKey val="0"/>
              <c:showVal val="1"/>
              <c:showCatName val="0"/>
              <c:showSerName val="0"/>
              <c:showPercent val="0"/>
              <c:showBubbleSize val="0"/>
            </c:dLbl>
            <c:dLbl>
              <c:idx val="7"/>
              <c:layout>
                <c:manualLayout>
                  <c:x val="1.2866393258464644E-2"/>
                  <c:y val="-6.9984074708184865E-3"/>
                </c:manualLayout>
              </c:layout>
              <c:tx>
                <c:rich>
                  <a:bodyPr/>
                  <a:lstStyle/>
                  <a:p>
                    <a:r>
                      <a:rPr lang="tr-TR" sz="800"/>
                      <a:t>411M</a:t>
                    </a:r>
                    <a:endParaRPr lang="en-US"/>
                  </a:p>
                </c:rich>
              </c:tx>
              <c:showLegendKey val="0"/>
              <c:showVal val="1"/>
              <c:showCatName val="0"/>
              <c:showSerName val="0"/>
              <c:showPercent val="0"/>
              <c:showBubbleSize val="0"/>
            </c:dLbl>
            <c:dLbl>
              <c:idx val="8"/>
              <c:layout>
                <c:manualLayout>
                  <c:x val="1.5031627990945576E-2"/>
                  <c:y val="3.3746182582334878E-3"/>
                </c:manualLayout>
              </c:layout>
              <c:tx>
                <c:rich>
                  <a:bodyPr/>
                  <a:lstStyle/>
                  <a:p>
                    <a:r>
                      <a:rPr lang="tr-TR" sz="800"/>
                      <a:t>424M</a:t>
                    </a:r>
                    <a:endParaRPr lang="en-US"/>
                  </a:p>
                </c:rich>
              </c:tx>
              <c:showLegendKey val="0"/>
              <c:showVal val="1"/>
              <c:showCatName val="0"/>
              <c:showSerName val="0"/>
              <c:showPercent val="0"/>
              <c:showBubbleSize val="0"/>
            </c:dLbl>
            <c:txPr>
              <a:bodyPr/>
              <a:lstStyle/>
              <a:p>
                <a:pPr>
                  <a:defRPr sz="800" baseline="0">
                    <a:latin typeface="Arial Black" panose="020B0A04020102020204" pitchFamily="34" charset="0"/>
                  </a:defRPr>
                </a:pPr>
                <a:endParaRPr lang="tr-TR"/>
              </a:p>
            </c:txPr>
            <c:showLegendKey val="0"/>
            <c:showVal val="1"/>
            <c:showCatName val="0"/>
            <c:showSerName val="0"/>
            <c:showPercent val="0"/>
            <c:showBubbleSize val="0"/>
            <c:showLeaderLines val="0"/>
          </c:dLbls>
          <c:cat>
            <c:numRef>
              <c:f>'MUKAYESELİ SATIŞ RAPORU'!$C$2:$K$2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'MUKAYESELİ SATIŞ RAPORU'!$C$15:$K$15</c:f>
              <c:numCache>
                <c:formatCode>#,##0</c:formatCode>
                <c:ptCount val="9"/>
                <c:pt idx="0">
                  <c:v>289193982</c:v>
                </c:pt>
                <c:pt idx="1">
                  <c:v>293257824</c:v>
                </c:pt>
                <c:pt idx="2">
                  <c:v>330017405</c:v>
                </c:pt>
                <c:pt idx="3">
                  <c:v>344405399</c:v>
                </c:pt>
                <c:pt idx="4">
                  <c:v>384054363</c:v>
                </c:pt>
                <c:pt idx="5">
                  <c:v>404129293</c:v>
                </c:pt>
                <c:pt idx="6">
                  <c:v>407739008</c:v>
                </c:pt>
                <c:pt idx="7">
                  <c:v>410641305</c:v>
                </c:pt>
                <c:pt idx="8">
                  <c:v>423601828</c:v>
                </c:pt>
              </c:numCache>
            </c:numRef>
          </c:val>
        </c:ser>
        <c:dLbls>
          <c:showLegendKey val="0"/>
          <c:showVal val="0"/>
          <c:showCatName val="0"/>
          <c:showSerName val="0"/>
          <c:showPercent val="0"/>
          <c:showBubbleSize val="0"/>
        </c:dLbls>
        <c:gapWidth val="150"/>
        <c:shape val="box"/>
        <c:axId val="194548480"/>
        <c:axId val="201077504"/>
        <c:axId val="0"/>
      </c:bar3DChart>
      <c:catAx>
        <c:axId val="194548480"/>
        <c:scaling>
          <c:orientation val="minMax"/>
        </c:scaling>
        <c:delete val="0"/>
        <c:axPos val="b"/>
        <c:numFmt formatCode="General" sourceLinked="1"/>
        <c:majorTickMark val="out"/>
        <c:minorTickMark val="none"/>
        <c:tickLblPos val="nextTo"/>
        <c:txPr>
          <a:bodyPr/>
          <a:lstStyle/>
          <a:p>
            <a:pPr>
              <a:defRPr sz="1200" b="1"/>
            </a:pPr>
            <a:endParaRPr lang="tr-TR"/>
          </a:p>
        </c:txPr>
        <c:crossAx val="201077504"/>
        <c:crosses val="autoZero"/>
        <c:auto val="1"/>
        <c:lblAlgn val="ctr"/>
        <c:lblOffset val="100"/>
        <c:noMultiLvlLbl val="0"/>
      </c:catAx>
      <c:valAx>
        <c:axId val="201077504"/>
        <c:scaling>
          <c:orientation val="minMax"/>
        </c:scaling>
        <c:delete val="0"/>
        <c:axPos val="l"/>
        <c:majorGridlines/>
        <c:numFmt formatCode="#,##0" sourceLinked="1"/>
        <c:majorTickMark val="out"/>
        <c:minorTickMark val="none"/>
        <c:tickLblPos val="nextTo"/>
        <c:txPr>
          <a:bodyPr/>
          <a:lstStyle/>
          <a:p>
            <a:pPr>
              <a:defRPr b="1"/>
            </a:pPr>
            <a:endParaRPr lang="tr-TR"/>
          </a:p>
        </c:txPr>
        <c:crossAx val="194548480"/>
        <c:crosses val="autoZero"/>
        <c:crossBetween val="between"/>
      </c:valAx>
    </c:plotArea>
    <c:plotVisOnly val="1"/>
    <c:dispBlanksAs val="gap"/>
    <c:showDLblsOverMax val="0"/>
  </c:chart>
  <c:spPr>
    <a:solidFill>
      <a:schemeClr val="accent3">
        <a:lumMod val="20000"/>
        <a:lumOff val="80000"/>
      </a:schemeClr>
    </a:solidFill>
    <a:scene3d>
      <a:camera prst="orthographicFront"/>
      <a:lightRig rig="threePt" dir="t"/>
    </a:scene3d>
    <a:sp3d>
      <a:bevelT/>
      <a:bevelB/>
    </a:sp3d>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baseline="0"/>
              <a:t>2019 Yılı Kategori Dağılımı</a:t>
            </a:r>
            <a:endParaRPr lang="tr-TR"/>
          </a:p>
        </c:rich>
      </c:tx>
      <c:overlay val="0"/>
    </c:title>
    <c:autoTitleDeleted val="0"/>
    <c:plotArea>
      <c:layout/>
      <c:pieChart>
        <c:varyColors val="1"/>
        <c:ser>
          <c:idx val="0"/>
          <c:order val="0"/>
          <c:dPt>
            <c:idx val="0"/>
            <c:bubble3D val="0"/>
            <c:explosion val="1"/>
          </c:dPt>
          <c:dLbls>
            <c:txPr>
              <a:bodyPr/>
              <a:lstStyle/>
              <a:p>
                <a:pPr>
                  <a:defRPr sz="1100" b="1"/>
                </a:pPr>
                <a:endParaRPr lang="tr-TR"/>
              </a:p>
            </c:txPr>
            <c:showLegendKey val="0"/>
            <c:showVal val="1"/>
            <c:showCatName val="0"/>
            <c:showSerName val="0"/>
            <c:showPercent val="0"/>
            <c:showBubbleSize val="0"/>
            <c:showLeaderLines val="1"/>
          </c:dLbls>
          <c:cat>
            <c:strRef>
              <c:f>Sayfa1!$C$3:$I$3</c:f>
              <c:strCache>
                <c:ptCount val="7"/>
                <c:pt idx="0">
                  <c:v>Yetişkin
(Araştırma-İnceleme)</c:v>
                </c:pt>
                <c:pt idx="1">
                  <c:v>Yetişkin Kurgu
(Edebiyat-Sanat)</c:v>
                </c:pt>
                <c:pt idx="2">
                  <c:v>Çocuk-Gençlik</c:v>
                </c:pt>
                <c:pt idx="3">
                  <c:v>Eğitim</c:v>
                </c:pt>
                <c:pt idx="4">
                  <c:v>Akademik</c:v>
                </c:pt>
                <c:pt idx="5">
                  <c:v>İnanç
</c:v>
                </c:pt>
                <c:pt idx="6">
                  <c:v>İthal
</c:v>
                </c:pt>
              </c:strCache>
            </c:strRef>
          </c:cat>
          <c:val>
            <c:numRef>
              <c:f>Sayfa1!$C$5:$I$5</c:f>
              <c:numCache>
                <c:formatCode>0.0%</c:formatCode>
                <c:ptCount val="7"/>
                <c:pt idx="0">
                  <c:v>0.187</c:v>
                </c:pt>
                <c:pt idx="1">
                  <c:v>6.4000000000000001E-2</c:v>
                </c:pt>
                <c:pt idx="2">
                  <c:v>9.7000000000000003E-2</c:v>
                </c:pt>
                <c:pt idx="3">
                  <c:v>0.54</c:v>
                </c:pt>
                <c:pt idx="4">
                  <c:v>1.2E-2</c:v>
                </c:pt>
                <c:pt idx="5">
                  <c:v>8.6999999999999994E-2</c:v>
                </c:pt>
                <c:pt idx="6" formatCode="0.00%">
                  <c:v>1.2500000000000001E-2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540462820633481"/>
          <c:y val="0.12872812436906925"/>
          <c:w val="0.34865911681358558"/>
          <c:h val="0.74254342822531794"/>
        </c:manualLayout>
      </c:layout>
      <c:overlay val="0"/>
      <c:txPr>
        <a:bodyPr/>
        <a:lstStyle/>
        <a:p>
          <a:pPr>
            <a:defRPr b="1"/>
          </a:pPr>
          <a:endParaRPr lang="tr-TR"/>
        </a:p>
      </c:txPr>
    </c:legend>
    <c:plotVisOnly val="1"/>
    <c:dispBlanksAs val="gap"/>
    <c:showDLblsOverMax val="0"/>
  </c:chart>
  <c:spPr>
    <a:pattFill prst="pct5">
      <a:fgClr>
        <a:schemeClr val="tx2">
          <a:lumMod val="40000"/>
          <a:lumOff val="60000"/>
        </a:schemeClr>
      </a:fgClr>
      <a:bgClr>
        <a:schemeClr val="bg1"/>
      </a:bgClr>
    </a:pattFill>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0.42047</cdr:x>
      <cdr:y>0.02175</cdr:y>
    </cdr:from>
    <cdr:to>
      <cdr:x>0.73042</cdr:x>
      <cdr:y>0.11477</cdr:y>
    </cdr:to>
    <cdr:sp macro="" textlink="">
      <cdr:nvSpPr>
        <cdr:cNvPr id="4" name="Metin kutusu 3"/>
        <cdr:cNvSpPr txBox="1"/>
      </cdr:nvSpPr>
      <cdr:spPr>
        <a:xfrm xmlns:a="http://schemas.openxmlformats.org/drawingml/2006/main">
          <a:off x="2504865" y="80171"/>
          <a:ext cx="1846483" cy="3428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800" b="1" baseline="0"/>
            <a:t>Aralık Ayı</a:t>
          </a:r>
          <a:endParaRPr lang="tr-TR" sz="1600" b="1"/>
        </a:p>
      </cdr:txBody>
    </cdr:sp>
  </cdr:relSizeAnchor>
  <cdr:relSizeAnchor xmlns:cdr="http://schemas.openxmlformats.org/drawingml/2006/chartDrawing">
    <cdr:from>
      <cdr:x>0.93443</cdr:x>
      <cdr:y>0.39511</cdr:y>
    </cdr:from>
    <cdr:to>
      <cdr:x>1</cdr:x>
      <cdr:y>0.56893</cdr:y>
    </cdr:to>
    <cdr:sp macro="" textlink="">
      <cdr:nvSpPr>
        <cdr:cNvPr id="5" name="Metin kutusu 4"/>
        <cdr:cNvSpPr txBox="1"/>
      </cdr:nvSpPr>
      <cdr:spPr>
        <a:xfrm xmlns:a="http://schemas.openxmlformats.org/drawingml/2006/main" rot="16200000">
          <a:off x="5417240" y="1562151"/>
          <a:ext cx="633404" cy="3887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800" b="1"/>
            <a:t>ADET</a:t>
          </a:r>
        </a:p>
      </cdr:txBody>
    </cdr:sp>
  </cdr:relSizeAnchor>
</c:userShapes>
</file>

<file path=word/drawings/drawing2.xml><?xml version="1.0" encoding="utf-8"?>
<c:userShapes xmlns:c="http://schemas.openxmlformats.org/drawingml/2006/chart">
  <cdr:relSizeAnchor xmlns:cdr="http://schemas.openxmlformats.org/drawingml/2006/chartDrawing">
    <cdr:from>
      <cdr:x>0.33958</cdr:x>
      <cdr:y>0.02422</cdr:y>
    </cdr:from>
    <cdr:to>
      <cdr:x>0.64953</cdr:x>
      <cdr:y>0.11724</cdr:y>
    </cdr:to>
    <cdr:sp macro="" textlink="">
      <cdr:nvSpPr>
        <cdr:cNvPr id="4" name="Metin kutusu 3"/>
        <cdr:cNvSpPr txBox="1"/>
      </cdr:nvSpPr>
      <cdr:spPr>
        <a:xfrm xmlns:a="http://schemas.openxmlformats.org/drawingml/2006/main">
          <a:off x="1956218" y="86316"/>
          <a:ext cx="1785535" cy="3315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800" b="1" baseline="0"/>
            <a:t>2011-2019 Yılları</a:t>
          </a:r>
          <a:endParaRPr lang="tr-TR" sz="1600" b="1"/>
        </a:p>
      </cdr:txBody>
    </cdr:sp>
  </cdr:relSizeAnchor>
  <cdr:relSizeAnchor xmlns:cdr="http://schemas.openxmlformats.org/drawingml/2006/chartDrawing">
    <cdr:from>
      <cdr:x>0.93443</cdr:x>
      <cdr:y>0.39511</cdr:y>
    </cdr:from>
    <cdr:to>
      <cdr:x>1</cdr:x>
      <cdr:y>0.56893</cdr:y>
    </cdr:to>
    <cdr:sp macro="" textlink="">
      <cdr:nvSpPr>
        <cdr:cNvPr id="5" name="Metin kutusu 4"/>
        <cdr:cNvSpPr txBox="1"/>
      </cdr:nvSpPr>
      <cdr:spPr>
        <a:xfrm xmlns:a="http://schemas.openxmlformats.org/drawingml/2006/main" rot="16200000">
          <a:off x="5417240" y="1562151"/>
          <a:ext cx="633404" cy="3887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800" b="1"/>
            <a:t>ADET</a:t>
          </a: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767</Words>
  <Characters>4377</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İpek Yıldırım</dc:creator>
  <cp:lastModifiedBy>YAVUZ SAYKI</cp:lastModifiedBy>
  <cp:revision>4</cp:revision>
  <dcterms:created xsi:type="dcterms:W3CDTF">2020-01-09T06:48:00Z</dcterms:created>
  <dcterms:modified xsi:type="dcterms:W3CDTF">2020-01-13T13:20:00Z</dcterms:modified>
</cp:coreProperties>
</file>