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54B" w:rsidRDefault="00267622">
      <w:pPr>
        <w:pStyle w:val="Balk1"/>
        <w:shd w:val="clear" w:color="auto" w:fill="FFFFFF"/>
        <w:spacing w:before="300" w:after="96"/>
        <w:rPr>
          <w:rFonts w:ascii="Arial" w:hAnsi="Arial" w:cs="Arial"/>
          <w:b w:val="0"/>
          <w:bCs w:val="0"/>
          <w:color w:val="891C02"/>
          <w:sz w:val="33"/>
          <w:szCs w:val="33"/>
        </w:rPr>
      </w:pPr>
      <w:r>
        <w:rPr>
          <w:rFonts w:ascii="Arial" w:hAnsi="Arial" w:cs="Arial"/>
          <w:b w:val="0"/>
          <w:bCs w:val="0"/>
          <w:color w:val="891C02"/>
          <w:sz w:val="33"/>
          <w:szCs w:val="33"/>
        </w:rPr>
        <w:t>2022 Bandrol Verileri</w:t>
      </w:r>
    </w:p>
    <w:p w:rsidR="000719F6" w:rsidRDefault="00267622">
      <w:pPr>
        <w:pStyle w:val="Balk1"/>
        <w:shd w:val="clear" w:color="auto" w:fill="FFFFFF"/>
        <w:spacing w:before="300" w:after="96"/>
        <w:rPr>
          <w:rFonts w:ascii="Verdana" w:eastAsia="Times New Roman" w:hAnsi="Verdana" w:cs="Times New Roman"/>
          <w:b w:val="0"/>
          <w:bCs w:val="0"/>
          <w:color w:val="auto"/>
          <w:sz w:val="22"/>
          <w:szCs w:val="18"/>
        </w:rPr>
      </w:pPr>
      <w:r>
        <w:rPr>
          <w:rFonts w:ascii="Verdana" w:eastAsia="Times New Roman" w:hAnsi="Verdana" w:cs="Times New Roman"/>
          <w:b w:val="0"/>
          <w:bCs w:val="0"/>
          <w:color w:val="auto"/>
          <w:sz w:val="22"/>
          <w:szCs w:val="18"/>
        </w:rPr>
        <w:t xml:space="preserve">Sektörümüz açısından zorlu geçen 2022 yılını </w:t>
      </w:r>
      <w:r w:rsidR="000719F6">
        <w:rPr>
          <w:rFonts w:ascii="Verdana" w:eastAsia="Times New Roman" w:hAnsi="Verdana" w:cs="Times New Roman"/>
          <w:b w:val="0"/>
          <w:bCs w:val="0"/>
          <w:color w:val="auto"/>
          <w:sz w:val="22"/>
          <w:szCs w:val="18"/>
        </w:rPr>
        <w:t>tamamladı</w:t>
      </w:r>
      <w:r>
        <w:rPr>
          <w:rFonts w:ascii="Verdana" w:eastAsia="Times New Roman" w:hAnsi="Verdana" w:cs="Times New Roman"/>
          <w:b w:val="0"/>
          <w:bCs w:val="0"/>
          <w:color w:val="auto"/>
          <w:sz w:val="22"/>
          <w:szCs w:val="18"/>
        </w:rPr>
        <w:t xml:space="preserve">k. Önceki iki yılda pandeminin oluşturduğu zor koşullar ile yüzleşmek durumunda kalmıştık. Pandemi sonrası koşulların daha olumlu hale gelmesini bekliyorduk. </w:t>
      </w:r>
      <w:r w:rsidR="00C7657A">
        <w:rPr>
          <w:rFonts w:ascii="Verdana" w:eastAsia="Times New Roman" w:hAnsi="Verdana" w:cs="Times New Roman"/>
          <w:b w:val="0"/>
          <w:bCs w:val="0"/>
          <w:color w:val="auto"/>
          <w:sz w:val="22"/>
          <w:szCs w:val="18"/>
        </w:rPr>
        <w:t>Ancak s</w:t>
      </w:r>
      <w:r>
        <w:rPr>
          <w:rFonts w:ascii="Verdana" w:eastAsia="Times New Roman" w:hAnsi="Verdana" w:cs="Times New Roman"/>
          <w:b w:val="0"/>
          <w:bCs w:val="0"/>
          <w:color w:val="auto"/>
          <w:sz w:val="22"/>
          <w:szCs w:val="18"/>
        </w:rPr>
        <w:t>ektörümüz bu süreçte dünyada pandemi sonrası bozulan tedarik süreçleri ve yüksek emtia fiyatlarının oluşturduğu yüksek enflasyon süreci ile yüzleşmek durumunda kaldı. Bu süreç</w:t>
      </w:r>
      <w:r w:rsidR="00C7657A">
        <w:rPr>
          <w:rFonts w:ascii="Verdana" w:eastAsia="Times New Roman" w:hAnsi="Verdana" w:cs="Times New Roman"/>
          <w:b w:val="0"/>
          <w:bCs w:val="0"/>
          <w:color w:val="auto"/>
          <w:sz w:val="22"/>
          <w:szCs w:val="18"/>
        </w:rPr>
        <w:t>te</w:t>
      </w:r>
      <w:r>
        <w:rPr>
          <w:rFonts w:ascii="Verdana" w:eastAsia="Times New Roman" w:hAnsi="Verdana" w:cs="Times New Roman"/>
          <w:b w:val="0"/>
          <w:bCs w:val="0"/>
          <w:color w:val="auto"/>
          <w:sz w:val="22"/>
          <w:szCs w:val="18"/>
        </w:rPr>
        <w:t xml:space="preserve"> yükselen kurlar sebebiyle ülkemizde </w:t>
      </w:r>
      <w:r w:rsidR="000719F6">
        <w:rPr>
          <w:rFonts w:ascii="Verdana" w:eastAsia="Times New Roman" w:hAnsi="Verdana" w:cs="Times New Roman"/>
          <w:b w:val="0"/>
          <w:bCs w:val="0"/>
          <w:color w:val="auto"/>
          <w:sz w:val="22"/>
          <w:szCs w:val="18"/>
        </w:rPr>
        <w:t xml:space="preserve">dünyanın başka ülkeleriyle kıyaslandığında </w:t>
      </w:r>
      <w:r>
        <w:rPr>
          <w:rFonts w:ascii="Verdana" w:eastAsia="Times New Roman" w:hAnsi="Verdana" w:cs="Times New Roman"/>
          <w:b w:val="0"/>
          <w:bCs w:val="0"/>
          <w:color w:val="auto"/>
          <w:sz w:val="22"/>
          <w:szCs w:val="18"/>
        </w:rPr>
        <w:t>çok daha yüksek bir enflasyon</w:t>
      </w:r>
      <w:r w:rsidR="000719F6">
        <w:rPr>
          <w:rFonts w:ascii="Verdana" w:eastAsia="Times New Roman" w:hAnsi="Verdana" w:cs="Times New Roman"/>
          <w:b w:val="0"/>
          <w:bCs w:val="0"/>
          <w:color w:val="auto"/>
          <w:sz w:val="22"/>
          <w:szCs w:val="18"/>
        </w:rPr>
        <w:t xml:space="preserve"> görüldü ve bu</w:t>
      </w:r>
      <w:r>
        <w:rPr>
          <w:rFonts w:ascii="Verdana" w:eastAsia="Times New Roman" w:hAnsi="Verdana" w:cs="Times New Roman"/>
          <w:b w:val="0"/>
          <w:bCs w:val="0"/>
          <w:color w:val="auto"/>
          <w:sz w:val="22"/>
          <w:szCs w:val="18"/>
        </w:rPr>
        <w:t xml:space="preserve"> hane halkı satın alma gücünün büyük ölçüde zayıflaması</w:t>
      </w:r>
      <w:r w:rsidR="002E47B5">
        <w:rPr>
          <w:rFonts w:ascii="Verdana" w:eastAsia="Times New Roman" w:hAnsi="Verdana" w:cs="Times New Roman"/>
          <w:b w:val="0"/>
          <w:bCs w:val="0"/>
          <w:color w:val="auto"/>
          <w:sz w:val="22"/>
          <w:szCs w:val="18"/>
        </w:rPr>
        <w:t xml:space="preserve"> ile</w:t>
      </w:r>
      <w:r>
        <w:rPr>
          <w:rFonts w:ascii="Verdana" w:eastAsia="Times New Roman" w:hAnsi="Verdana" w:cs="Times New Roman"/>
          <w:b w:val="0"/>
          <w:bCs w:val="0"/>
          <w:color w:val="auto"/>
          <w:sz w:val="22"/>
          <w:szCs w:val="18"/>
        </w:rPr>
        <w:t xml:space="preserve"> </w:t>
      </w:r>
      <w:r w:rsidR="000719F6">
        <w:rPr>
          <w:rFonts w:ascii="Verdana" w:eastAsia="Times New Roman" w:hAnsi="Verdana" w:cs="Times New Roman"/>
          <w:b w:val="0"/>
          <w:bCs w:val="0"/>
          <w:color w:val="auto"/>
          <w:sz w:val="22"/>
          <w:szCs w:val="18"/>
        </w:rPr>
        <w:t>sonuçlandığı için</w:t>
      </w:r>
      <w:r>
        <w:rPr>
          <w:rFonts w:ascii="Verdana" w:eastAsia="Times New Roman" w:hAnsi="Verdana" w:cs="Times New Roman"/>
          <w:b w:val="0"/>
          <w:bCs w:val="0"/>
          <w:color w:val="auto"/>
          <w:sz w:val="22"/>
          <w:szCs w:val="18"/>
        </w:rPr>
        <w:t xml:space="preserve"> </w:t>
      </w:r>
      <w:r w:rsidR="000719F6">
        <w:rPr>
          <w:rFonts w:ascii="Verdana" w:eastAsia="Times New Roman" w:hAnsi="Verdana" w:cs="Times New Roman"/>
          <w:b w:val="0"/>
          <w:bCs w:val="0"/>
          <w:color w:val="auto"/>
          <w:sz w:val="22"/>
          <w:szCs w:val="18"/>
        </w:rPr>
        <w:t xml:space="preserve">sektörde </w:t>
      </w:r>
      <w:r w:rsidR="00C7657A">
        <w:rPr>
          <w:rFonts w:ascii="Verdana" w:eastAsia="Times New Roman" w:hAnsi="Verdana" w:cs="Times New Roman"/>
          <w:b w:val="0"/>
          <w:bCs w:val="0"/>
          <w:color w:val="auto"/>
          <w:sz w:val="22"/>
          <w:szCs w:val="18"/>
        </w:rPr>
        <w:t>ciddi</w:t>
      </w:r>
      <w:r>
        <w:rPr>
          <w:rFonts w:ascii="Verdana" w:eastAsia="Times New Roman" w:hAnsi="Verdana" w:cs="Times New Roman"/>
          <w:b w:val="0"/>
          <w:bCs w:val="0"/>
          <w:color w:val="auto"/>
          <w:sz w:val="22"/>
          <w:szCs w:val="18"/>
        </w:rPr>
        <w:t xml:space="preserve"> negatif </w:t>
      </w:r>
      <w:r w:rsidR="000719F6">
        <w:rPr>
          <w:rFonts w:ascii="Verdana" w:eastAsia="Times New Roman" w:hAnsi="Verdana" w:cs="Times New Roman"/>
          <w:b w:val="0"/>
          <w:bCs w:val="0"/>
          <w:color w:val="auto"/>
          <w:sz w:val="22"/>
          <w:szCs w:val="18"/>
        </w:rPr>
        <w:t xml:space="preserve">bir </w:t>
      </w:r>
      <w:r>
        <w:rPr>
          <w:rFonts w:ascii="Verdana" w:eastAsia="Times New Roman" w:hAnsi="Verdana" w:cs="Times New Roman"/>
          <w:b w:val="0"/>
          <w:bCs w:val="0"/>
          <w:color w:val="auto"/>
          <w:sz w:val="22"/>
          <w:szCs w:val="18"/>
        </w:rPr>
        <w:t xml:space="preserve">etki oluşturdu. </w:t>
      </w:r>
    </w:p>
    <w:p w:rsidR="000719F6" w:rsidRDefault="008A2588">
      <w:pPr>
        <w:jc w:val="both"/>
        <w:rPr>
          <w:rFonts w:ascii="Verdana" w:eastAsia="Times New Roman" w:hAnsi="Verdana" w:cs="Times New Roman"/>
          <w:szCs w:val="18"/>
        </w:rPr>
      </w:pPr>
      <w:r>
        <w:rPr>
          <w:rFonts w:ascii="Verdana" w:eastAsia="Times New Roman" w:hAnsi="Verdana" w:cs="Times New Roman"/>
          <w:szCs w:val="18"/>
        </w:rPr>
        <w:t>Yayımcılık sektörü</w:t>
      </w:r>
      <w:r w:rsidR="00267622">
        <w:rPr>
          <w:rFonts w:ascii="Verdana" w:eastAsia="Times New Roman" w:hAnsi="Verdana" w:cs="Times New Roman"/>
          <w:szCs w:val="18"/>
        </w:rPr>
        <w:t xml:space="preserve"> 2021 yılını </w:t>
      </w:r>
      <w:r w:rsidR="00267622">
        <w:rPr>
          <w:rFonts w:ascii="Verdana" w:eastAsia="Times New Roman" w:hAnsi="Verdana" w:cs="Times New Roman"/>
          <w:b/>
          <w:szCs w:val="18"/>
        </w:rPr>
        <w:t>438.679.864</w:t>
      </w:r>
      <w:r w:rsidR="00267622">
        <w:rPr>
          <w:rFonts w:ascii="Verdana" w:eastAsia="Times New Roman" w:hAnsi="Verdana" w:cs="Times New Roman"/>
          <w:szCs w:val="18"/>
        </w:rPr>
        <w:t xml:space="preserve"> adet kitap üretimi ile tamamlamıştı. 2022 yılını ise </w:t>
      </w:r>
      <w:r w:rsidR="00267622">
        <w:rPr>
          <w:rFonts w:ascii="Verdana" w:eastAsia="Times New Roman" w:hAnsi="Verdana" w:cs="Times New Roman"/>
          <w:b/>
          <w:szCs w:val="18"/>
        </w:rPr>
        <w:t xml:space="preserve">380.296.402 </w:t>
      </w:r>
      <w:r w:rsidR="00267622">
        <w:rPr>
          <w:rFonts w:ascii="Verdana" w:eastAsia="Times New Roman" w:hAnsi="Verdana" w:cs="Times New Roman"/>
          <w:szCs w:val="18"/>
        </w:rPr>
        <w:t xml:space="preserve">adet ile tamamladı. 2022 yılında bir önceki yıla göre </w:t>
      </w:r>
      <w:r w:rsidR="00267622">
        <w:rPr>
          <w:rFonts w:ascii="Verdana" w:eastAsia="Times New Roman" w:hAnsi="Verdana" w:cs="Times New Roman"/>
          <w:b/>
          <w:szCs w:val="18"/>
        </w:rPr>
        <w:t>58,3</w:t>
      </w:r>
      <w:r w:rsidR="00267622">
        <w:rPr>
          <w:rFonts w:ascii="Verdana" w:eastAsia="Times New Roman" w:hAnsi="Verdana" w:cs="Times New Roman"/>
          <w:szCs w:val="18"/>
        </w:rPr>
        <w:t xml:space="preserve"> milyon adet, oransal olarak </w:t>
      </w:r>
      <w:r w:rsidR="00267622">
        <w:rPr>
          <w:rFonts w:ascii="Verdana" w:eastAsia="Times New Roman" w:hAnsi="Verdana" w:cs="Times New Roman"/>
          <w:b/>
          <w:szCs w:val="18"/>
        </w:rPr>
        <w:t xml:space="preserve">%13,3 </w:t>
      </w:r>
      <w:r w:rsidR="00267622">
        <w:rPr>
          <w:rFonts w:ascii="Verdana" w:eastAsia="Times New Roman" w:hAnsi="Verdana" w:cs="Times New Roman"/>
          <w:szCs w:val="18"/>
        </w:rPr>
        <w:t xml:space="preserve">küçülme gerçekleşti. Sektörümüzün son on yılında ilk kez yaşadığımız bu küçülme ile kitap üretimi 2015 yılı seviyesine gerilemiş oldu. </w:t>
      </w:r>
      <w:r w:rsidR="00DA2F23">
        <w:rPr>
          <w:rFonts w:ascii="Verdana" w:eastAsia="Times New Roman" w:hAnsi="Verdana" w:cs="Times New Roman"/>
          <w:szCs w:val="18"/>
        </w:rPr>
        <w:t>Sonuçlar sektörün 7 yıl geriye gittiğini göstermektedir.</w:t>
      </w:r>
    </w:p>
    <w:p w:rsidR="000719F6" w:rsidRPr="000719F6" w:rsidRDefault="000719F6" w:rsidP="000719F6">
      <w:pPr>
        <w:pStyle w:val="Balk1"/>
        <w:shd w:val="clear" w:color="auto" w:fill="FFFFFF"/>
        <w:spacing w:before="300" w:after="96"/>
        <w:rPr>
          <w:rFonts w:ascii="Verdana" w:eastAsia="Times New Roman" w:hAnsi="Verdana" w:cs="Times New Roman"/>
          <w:b w:val="0"/>
          <w:bCs w:val="0"/>
          <w:color w:val="auto"/>
          <w:sz w:val="22"/>
          <w:szCs w:val="18"/>
        </w:rPr>
      </w:pPr>
      <w:r>
        <w:rPr>
          <w:rFonts w:ascii="Verdana" w:eastAsia="Times New Roman" w:hAnsi="Verdana" w:cs="Times New Roman"/>
          <w:b w:val="0"/>
          <w:bCs w:val="0"/>
          <w:color w:val="auto"/>
          <w:sz w:val="22"/>
          <w:szCs w:val="18"/>
        </w:rPr>
        <w:t>2022 yılındaki kitap üretim adetlerinin düşüşünde Milli Eğitim Bakanlığı tarafından dağıtımı yapılan yardımcı kaynak kitapların etkisi</w:t>
      </w:r>
      <w:r w:rsidR="008A2588">
        <w:rPr>
          <w:rFonts w:ascii="Verdana" w:eastAsia="Times New Roman" w:hAnsi="Verdana" w:cs="Times New Roman"/>
          <w:b w:val="0"/>
          <w:bCs w:val="0"/>
          <w:color w:val="auto"/>
          <w:sz w:val="22"/>
          <w:szCs w:val="18"/>
        </w:rPr>
        <w:t>nin</w:t>
      </w:r>
      <w:r>
        <w:rPr>
          <w:rFonts w:ascii="Verdana" w:eastAsia="Times New Roman" w:hAnsi="Verdana" w:cs="Times New Roman"/>
          <w:b w:val="0"/>
          <w:bCs w:val="0"/>
          <w:color w:val="auto"/>
          <w:sz w:val="22"/>
          <w:szCs w:val="18"/>
        </w:rPr>
        <w:t xml:space="preserve"> </w:t>
      </w:r>
      <w:r w:rsidR="008A2588">
        <w:rPr>
          <w:rFonts w:ascii="Verdana" w:eastAsia="Times New Roman" w:hAnsi="Verdana" w:cs="Times New Roman"/>
          <w:b w:val="0"/>
          <w:bCs w:val="0"/>
          <w:color w:val="auto"/>
          <w:sz w:val="22"/>
          <w:szCs w:val="18"/>
        </w:rPr>
        <w:t>yüksek olduğu görülmektedir</w:t>
      </w:r>
      <w:r>
        <w:rPr>
          <w:rFonts w:ascii="Verdana" w:eastAsia="Times New Roman" w:hAnsi="Verdana" w:cs="Times New Roman"/>
          <w:b w:val="0"/>
          <w:bCs w:val="0"/>
          <w:color w:val="auto"/>
          <w:sz w:val="22"/>
          <w:szCs w:val="18"/>
        </w:rPr>
        <w:t xml:space="preserve">. </w:t>
      </w:r>
    </w:p>
    <w:p w:rsidR="00A9254B" w:rsidRDefault="00267622">
      <w:pPr>
        <w:jc w:val="both"/>
        <w:rPr>
          <w:rFonts w:ascii="Verdana" w:eastAsia="Times New Roman" w:hAnsi="Verdana" w:cs="Times New Roman"/>
          <w:szCs w:val="18"/>
        </w:rPr>
      </w:pPr>
      <w:r>
        <w:rPr>
          <w:rFonts w:ascii="Verdana" w:eastAsia="Times New Roman" w:hAnsi="Verdana" w:cs="Times New Roman"/>
          <w:szCs w:val="18"/>
        </w:rPr>
        <w:t xml:space="preserve">2022 yılının ilk altı ayını 2021 yılına göre büyüyerek tamamlamıştık. Ancak yılın </w:t>
      </w:r>
      <w:proofErr w:type="gramStart"/>
      <w:r>
        <w:rPr>
          <w:rFonts w:ascii="Verdana" w:eastAsia="Times New Roman" w:hAnsi="Verdana" w:cs="Times New Roman"/>
          <w:szCs w:val="18"/>
        </w:rPr>
        <w:t>ikinci</w:t>
      </w:r>
      <w:proofErr w:type="gramEnd"/>
      <w:r>
        <w:rPr>
          <w:rFonts w:ascii="Verdana" w:eastAsia="Times New Roman" w:hAnsi="Verdana" w:cs="Times New Roman"/>
          <w:szCs w:val="18"/>
        </w:rPr>
        <w:t xml:space="preserve"> yarısında yüzleştiğimiz yüksek enflasyona ek olarak Milli Eğitim Bakanlığı tarafından 100 milyon adet yardımcı kitabın ücretsiz dağıtılacağı ilan edilmesi özellikle </w:t>
      </w:r>
      <w:r w:rsidR="00C22D0F">
        <w:rPr>
          <w:rFonts w:ascii="Verdana" w:eastAsia="Times New Roman" w:hAnsi="Verdana" w:cs="Times New Roman"/>
          <w:szCs w:val="18"/>
        </w:rPr>
        <w:t>e</w:t>
      </w:r>
      <w:r>
        <w:rPr>
          <w:rFonts w:ascii="Verdana" w:eastAsia="Times New Roman" w:hAnsi="Verdana" w:cs="Times New Roman"/>
          <w:szCs w:val="18"/>
        </w:rPr>
        <w:t xml:space="preserve">ğitim kategorisinde yer alan kitap üretim adetlerini ciddi anlamda </w:t>
      </w:r>
      <w:r w:rsidR="00C22D0F">
        <w:rPr>
          <w:rFonts w:ascii="Verdana" w:eastAsia="Times New Roman" w:hAnsi="Verdana" w:cs="Times New Roman"/>
          <w:szCs w:val="18"/>
        </w:rPr>
        <w:t>düşürdü</w:t>
      </w:r>
      <w:r>
        <w:rPr>
          <w:rFonts w:ascii="Verdana" w:eastAsia="Times New Roman" w:hAnsi="Verdana" w:cs="Times New Roman"/>
          <w:szCs w:val="18"/>
        </w:rPr>
        <w:t xml:space="preserve">. Aşağıda paylaşacağımız karşılaştırmalı tabloda bu etki rakamsal olarak daha net görülmektedir.    </w:t>
      </w:r>
    </w:p>
    <w:p w:rsidR="00C22D0F" w:rsidRDefault="00267622">
      <w:pPr>
        <w:jc w:val="both"/>
        <w:rPr>
          <w:rFonts w:ascii="Verdana" w:eastAsia="Times New Roman" w:hAnsi="Verdana" w:cs="Times New Roman"/>
          <w:szCs w:val="18"/>
        </w:rPr>
      </w:pPr>
      <w:r>
        <w:rPr>
          <w:rFonts w:ascii="Verdana" w:eastAsia="Times New Roman" w:hAnsi="Verdana" w:cs="Times New Roman"/>
          <w:szCs w:val="18"/>
        </w:rPr>
        <w:t>Sektörümüz</w:t>
      </w:r>
      <w:r w:rsidR="00C22D0F">
        <w:rPr>
          <w:rFonts w:ascii="Verdana" w:eastAsia="Times New Roman" w:hAnsi="Verdana" w:cs="Times New Roman"/>
          <w:szCs w:val="18"/>
        </w:rPr>
        <w:t>ün kitap üretim</w:t>
      </w:r>
      <w:r>
        <w:rPr>
          <w:rFonts w:ascii="Verdana" w:eastAsia="Times New Roman" w:hAnsi="Verdana" w:cs="Times New Roman"/>
          <w:szCs w:val="18"/>
        </w:rPr>
        <w:t xml:space="preserve"> </w:t>
      </w:r>
      <w:r w:rsidR="00C22D0F">
        <w:rPr>
          <w:rFonts w:ascii="Verdana" w:eastAsia="Times New Roman" w:hAnsi="Verdana" w:cs="Times New Roman"/>
          <w:szCs w:val="18"/>
        </w:rPr>
        <w:t>miktarları oransal olarak</w:t>
      </w:r>
      <w:r>
        <w:rPr>
          <w:rFonts w:ascii="Verdana" w:eastAsia="Times New Roman" w:hAnsi="Verdana" w:cs="Times New Roman"/>
          <w:szCs w:val="18"/>
        </w:rPr>
        <w:t xml:space="preserve"> 2015 yılından sonra ciddi anlamda düşüş gösterdi. 2022 yılında ise yukarıda ifade ettiğimiz sebeplerden ötürü küçülerek tekrar 2015 yılı seviyelerine geri dönmüş olduk. Ayrıca dijital kaynak kullanımının artması da basılı kitap üretim sayısını etkilemektedir. Ancak dijital kitaplara ait üretim ve kullanım adetlerine ilişkin elimizde veri bulunmamaktadır. Ülkemizde yayımcılık sektörünün üretim büyüklüğünün doğru ölçeklenmesi için bütün basılı ve dijital kitap üretimlerinin kayıt altına alınmasının fa</w:t>
      </w:r>
      <w:r w:rsidR="00E75D4A">
        <w:rPr>
          <w:rFonts w:ascii="Verdana" w:eastAsia="Times New Roman" w:hAnsi="Verdana" w:cs="Times New Roman"/>
          <w:szCs w:val="18"/>
        </w:rPr>
        <w:t xml:space="preserve">ydalı olacağını düşünmekteyiz. </w:t>
      </w:r>
      <w:r w:rsidR="00C22D0F">
        <w:rPr>
          <w:rFonts w:ascii="Verdana" w:eastAsia="Times New Roman" w:hAnsi="Verdana" w:cs="Times New Roman"/>
          <w:szCs w:val="18"/>
        </w:rPr>
        <w:t xml:space="preserve">Milli Eğitim Bakanlığı’nın ürettiği ve ürettirdiği kitaplarda </w:t>
      </w:r>
      <w:proofErr w:type="gramStart"/>
      <w:r w:rsidR="00C22D0F">
        <w:rPr>
          <w:rFonts w:ascii="Verdana" w:eastAsia="Times New Roman" w:hAnsi="Verdana" w:cs="Times New Roman"/>
          <w:szCs w:val="18"/>
        </w:rPr>
        <w:t>bandrol</w:t>
      </w:r>
      <w:proofErr w:type="gramEnd"/>
      <w:r w:rsidR="00C22D0F">
        <w:rPr>
          <w:rFonts w:ascii="Verdana" w:eastAsia="Times New Roman" w:hAnsi="Verdana" w:cs="Times New Roman"/>
          <w:szCs w:val="18"/>
        </w:rPr>
        <w:t xml:space="preserve"> zorunluluğu olmaması bu eserlerin hem sayısını hem de telif hakları bakımından </w:t>
      </w:r>
      <w:proofErr w:type="spellStart"/>
      <w:r w:rsidR="00C22D0F">
        <w:rPr>
          <w:rFonts w:ascii="Verdana" w:eastAsia="Times New Roman" w:hAnsi="Verdana" w:cs="Times New Roman"/>
          <w:szCs w:val="18"/>
        </w:rPr>
        <w:t>ölçülebilirliğini</w:t>
      </w:r>
      <w:proofErr w:type="spellEnd"/>
      <w:r w:rsidR="00C22D0F">
        <w:rPr>
          <w:rFonts w:ascii="Verdana" w:eastAsia="Times New Roman" w:hAnsi="Verdana" w:cs="Times New Roman"/>
          <w:szCs w:val="18"/>
        </w:rPr>
        <w:t xml:space="preserve"> ortadan kaldırmaktadır. Bir an önce Türkiye’de üretilen tüm kitapların </w:t>
      </w:r>
      <w:proofErr w:type="gramStart"/>
      <w:r w:rsidR="00C22D0F">
        <w:rPr>
          <w:rFonts w:ascii="Verdana" w:eastAsia="Times New Roman" w:hAnsi="Verdana" w:cs="Times New Roman"/>
          <w:szCs w:val="18"/>
        </w:rPr>
        <w:t>bandrol</w:t>
      </w:r>
      <w:proofErr w:type="gramEnd"/>
      <w:r w:rsidR="00C22D0F">
        <w:rPr>
          <w:rFonts w:ascii="Verdana" w:eastAsia="Times New Roman" w:hAnsi="Verdana" w:cs="Times New Roman"/>
          <w:szCs w:val="18"/>
        </w:rPr>
        <w:t xml:space="preserve"> altına alınması özel sektörle kamu üretiminin eşitlenmesi gerekmektedir.</w:t>
      </w:r>
    </w:p>
    <w:p w:rsidR="00A9254B" w:rsidRDefault="00267622">
      <w:pPr>
        <w:jc w:val="both"/>
        <w:rPr>
          <w:rFonts w:ascii="Verdana" w:eastAsia="Times New Roman" w:hAnsi="Verdana" w:cs="Times New Roman"/>
          <w:szCs w:val="18"/>
        </w:rPr>
      </w:pPr>
      <w:r>
        <w:rPr>
          <w:noProof/>
          <w:lang w:eastAsia="tr-TR"/>
        </w:rPr>
        <w:lastRenderedPageBreak/>
        <w:drawing>
          <wp:inline distT="0" distB="0" distL="0" distR="0">
            <wp:extent cx="5760720" cy="3129915"/>
            <wp:effectExtent l="0" t="0" r="11430" b="1333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9254B" w:rsidRDefault="00267622">
      <w:pPr>
        <w:pStyle w:val="Balk1"/>
        <w:shd w:val="clear" w:color="auto" w:fill="FFFFFF"/>
        <w:spacing w:before="300" w:after="96"/>
        <w:rPr>
          <w:rFonts w:ascii="Arial" w:hAnsi="Arial" w:cs="Arial"/>
          <w:b w:val="0"/>
          <w:bCs w:val="0"/>
          <w:color w:val="891C02"/>
          <w:sz w:val="33"/>
          <w:szCs w:val="33"/>
        </w:rPr>
      </w:pPr>
      <w:r>
        <w:rPr>
          <w:rFonts w:ascii="Arial" w:hAnsi="Arial" w:cs="Arial"/>
          <w:b w:val="0"/>
          <w:bCs w:val="0"/>
          <w:color w:val="891C02"/>
          <w:sz w:val="33"/>
          <w:szCs w:val="33"/>
        </w:rPr>
        <w:t>Aralık Ayı Verileri</w:t>
      </w:r>
    </w:p>
    <w:p w:rsidR="00A9254B" w:rsidRDefault="00267622">
      <w:pPr>
        <w:jc w:val="both"/>
        <w:rPr>
          <w:rFonts w:ascii="Verdana" w:eastAsia="Times New Roman" w:hAnsi="Verdana" w:cs="Times New Roman"/>
          <w:szCs w:val="18"/>
        </w:rPr>
      </w:pPr>
      <w:r>
        <w:rPr>
          <w:rFonts w:ascii="Verdana" w:eastAsia="Times New Roman" w:hAnsi="Verdana" w:cs="Times New Roman"/>
          <w:szCs w:val="18"/>
        </w:rPr>
        <w:t xml:space="preserve">2022 yılı ikinci yarısından itibaren kitap üretim adetleri her ay ciddi şekilde bir önceki yılın aynı ayına göre gerileme gösterdi. Aralık ayı, kitap üretiminde yılın genelde en düşük üretiminin gerçekleştiği aydır. 2021 </w:t>
      </w:r>
      <w:r w:rsidR="00FE5B97">
        <w:rPr>
          <w:rFonts w:ascii="Verdana" w:eastAsia="Times New Roman" w:hAnsi="Verdana" w:cs="Times New Roman"/>
          <w:szCs w:val="18"/>
        </w:rPr>
        <w:t>Aralık</w:t>
      </w:r>
      <w:r>
        <w:rPr>
          <w:rFonts w:ascii="Verdana" w:eastAsia="Times New Roman" w:hAnsi="Verdana" w:cs="Times New Roman"/>
          <w:szCs w:val="18"/>
        </w:rPr>
        <w:t xml:space="preserve"> ayını çok ciddi kur dalgalanmaları ile geçirmiştik. Bu nedenle geçen yılın adetleri zaten çok düşük seviyede kalmıştı. Düşüş </w:t>
      </w:r>
      <w:proofErr w:type="gramStart"/>
      <w:r>
        <w:rPr>
          <w:rFonts w:ascii="Verdana" w:eastAsia="Times New Roman" w:hAnsi="Verdana" w:cs="Times New Roman"/>
          <w:szCs w:val="18"/>
        </w:rPr>
        <w:t>trendinin</w:t>
      </w:r>
      <w:proofErr w:type="gramEnd"/>
      <w:r>
        <w:rPr>
          <w:rFonts w:ascii="Verdana" w:eastAsia="Times New Roman" w:hAnsi="Verdana" w:cs="Times New Roman"/>
          <w:szCs w:val="18"/>
        </w:rPr>
        <w:t xml:space="preserve"> bitmesi ümidi ile başladığımız </w:t>
      </w:r>
      <w:r w:rsidR="00FE5B97">
        <w:rPr>
          <w:rFonts w:ascii="Verdana" w:eastAsia="Times New Roman" w:hAnsi="Verdana" w:cs="Times New Roman"/>
          <w:szCs w:val="18"/>
        </w:rPr>
        <w:t xml:space="preserve">Aralık </w:t>
      </w:r>
      <w:r>
        <w:rPr>
          <w:rFonts w:ascii="Verdana" w:eastAsia="Times New Roman" w:hAnsi="Verdana" w:cs="Times New Roman"/>
          <w:szCs w:val="18"/>
        </w:rPr>
        <w:t xml:space="preserve">ayı beklentilerimizi karşıladı. 2022 yılı aralık ayında </w:t>
      </w:r>
      <w:r>
        <w:rPr>
          <w:rFonts w:ascii="Verdana" w:eastAsia="Times New Roman" w:hAnsi="Verdana" w:cs="Times New Roman"/>
          <w:b/>
          <w:szCs w:val="18"/>
        </w:rPr>
        <w:t>24.992.834</w:t>
      </w:r>
      <w:r>
        <w:rPr>
          <w:rFonts w:ascii="Verdana" w:eastAsia="Times New Roman" w:hAnsi="Verdana" w:cs="Times New Roman"/>
          <w:szCs w:val="18"/>
        </w:rPr>
        <w:t xml:space="preserve"> adet kitap üretimi gerçekleşti. Bir önceki yılın aynı ayındaki adet 23.819.636 olarak kayıtlara geçmişti. Aralık ayında kitap üretimi yaklaşık  </w:t>
      </w:r>
      <w:r>
        <w:rPr>
          <w:rFonts w:ascii="Verdana" w:eastAsia="Times New Roman" w:hAnsi="Verdana" w:cs="Times New Roman"/>
          <w:b/>
          <w:szCs w:val="18"/>
        </w:rPr>
        <w:t>%5</w:t>
      </w:r>
      <w:r>
        <w:rPr>
          <w:rFonts w:ascii="Verdana" w:eastAsia="Times New Roman" w:hAnsi="Verdana" w:cs="Times New Roman"/>
          <w:szCs w:val="18"/>
        </w:rPr>
        <w:t xml:space="preserve"> oranında büyüme gösterdi.</w:t>
      </w:r>
      <w:r w:rsidR="00FE5B97">
        <w:rPr>
          <w:rFonts w:ascii="Verdana" w:eastAsia="Times New Roman" w:hAnsi="Verdana" w:cs="Times New Roman"/>
          <w:szCs w:val="18"/>
        </w:rPr>
        <w:t xml:space="preserve"> Bunun temel nedenini de yayınevlerimizin yeni yılda oluşacak zamlı üretim maliyetlerinden </w:t>
      </w:r>
      <w:r w:rsidR="00C7657A">
        <w:rPr>
          <w:rFonts w:ascii="Verdana" w:eastAsia="Times New Roman" w:hAnsi="Verdana" w:cs="Times New Roman"/>
          <w:szCs w:val="18"/>
        </w:rPr>
        <w:t>kurtulmak için</w:t>
      </w:r>
      <w:r>
        <w:rPr>
          <w:rFonts w:ascii="Verdana" w:eastAsia="Times New Roman" w:hAnsi="Verdana" w:cs="Times New Roman"/>
          <w:szCs w:val="18"/>
        </w:rPr>
        <w:t xml:space="preserve"> </w:t>
      </w:r>
      <w:r w:rsidR="00FE5B97">
        <w:rPr>
          <w:rFonts w:ascii="Verdana" w:eastAsia="Times New Roman" w:hAnsi="Verdana" w:cs="Times New Roman"/>
          <w:szCs w:val="18"/>
        </w:rPr>
        <w:t>kitap üretimlerini Aralık ayına kaydırması olarak okuyoruz.</w:t>
      </w:r>
    </w:p>
    <w:p w:rsidR="00A9254B" w:rsidRDefault="00267622">
      <w:pPr>
        <w:jc w:val="both"/>
        <w:rPr>
          <w:rFonts w:ascii="Verdana" w:eastAsia="Times New Roman" w:hAnsi="Verdana" w:cs="Times New Roman"/>
          <w:szCs w:val="18"/>
        </w:rPr>
      </w:pPr>
      <w:r>
        <w:rPr>
          <w:noProof/>
          <w:lang w:eastAsia="tr-TR"/>
        </w:rPr>
        <w:lastRenderedPageBreak/>
        <w:drawing>
          <wp:inline distT="0" distB="0" distL="0" distR="0">
            <wp:extent cx="5760720" cy="3129915"/>
            <wp:effectExtent l="0" t="0" r="11430" b="1333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9254B" w:rsidRDefault="00267622">
      <w:pPr>
        <w:jc w:val="both"/>
        <w:rPr>
          <w:rFonts w:ascii="Verdana" w:eastAsia="Times New Roman" w:hAnsi="Verdana" w:cs="Times New Roman"/>
          <w:sz w:val="18"/>
          <w:szCs w:val="18"/>
        </w:rPr>
      </w:pPr>
      <w:r>
        <w:rPr>
          <w:rFonts w:ascii="Verdana" w:eastAsia="Times New Roman" w:hAnsi="Verdana" w:cs="Times New Roman"/>
          <w:sz w:val="20"/>
          <w:szCs w:val="18"/>
        </w:rPr>
        <w:t xml:space="preserve"> </w:t>
      </w:r>
      <w:r>
        <w:rPr>
          <w:rFonts w:ascii="Verdana" w:eastAsia="Times New Roman" w:hAnsi="Verdana" w:cs="Times New Roman"/>
          <w:sz w:val="18"/>
          <w:szCs w:val="18"/>
        </w:rPr>
        <w:t xml:space="preserve">        </w:t>
      </w:r>
    </w:p>
    <w:p w:rsidR="00A9254B" w:rsidRDefault="00267622">
      <w:pPr>
        <w:jc w:val="both"/>
        <w:rPr>
          <w:rFonts w:ascii="Arial" w:eastAsia="Times New Roman" w:hAnsi="Arial" w:cs="Arial"/>
          <w:color w:val="891C02"/>
          <w:kern w:val="36"/>
          <w:sz w:val="28"/>
          <w:szCs w:val="33"/>
        </w:rPr>
      </w:pPr>
      <w:r>
        <w:rPr>
          <w:rFonts w:ascii="Arial" w:eastAsia="Times New Roman" w:hAnsi="Arial" w:cs="Arial"/>
          <w:color w:val="891C02"/>
          <w:kern w:val="36"/>
          <w:sz w:val="28"/>
          <w:szCs w:val="33"/>
        </w:rPr>
        <w:t>2022 Yılı Kategori Dağılımı</w:t>
      </w:r>
    </w:p>
    <w:p w:rsidR="00A9254B" w:rsidRDefault="00267622">
      <w:pPr>
        <w:jc w:val="both"/>
        <w:rPr>
          <w:rFonts w:ascii="Verdana" w:eastAsia="Times New Roman" w:hAnsi="Verdana" w:cs="Times New Roman"/>
          <w:szCs w:val="18"/>
        </w:rPr>
      </w:pPr>
      <w:r>
        <w:rPr>
          <w:rFonts w:ascii="Verdana" w:eastAsia="Times New Roman" w:hAnsi="Verdana" w:cs="Times New Roman"/>
          <w:szCs w:val="18"/>
        </w:rPr>
        <w:t xml:space="preserve">2022 yılında yayımlanan kitapların %19,4'ünü yetişkin araştırma, inceleme kitapları, yaklaşık %9'unu yetişkin edebiyat sanat kitapları, %12,1'ini çocuk ve gençlik kitapları, yaklaşık %8,7'sini inanç kitapları, yaklaşık %1,4’ünü akademik yayınlar, %1,5’ini ithal yayınlar kitapları ve %47,9'unu eğitim alanındaki kitaplar oluşturdu. </w:t>
      </w:r>
    </w:p>
    <w:p w:rsidR="00A9254B" w:rsidRDefault="00267622">
      <w:pPr>
        <w:jc w:val="both"/>
        <w:rPr>
          <w:rFonts w:ascii="Verdana" w:eastAsia="Times New Roman" w:hAnsi="Verdana" w:cs="Times New Roman"/>
          <w:sz w:val="20"/>
          <w:szCs w:val="18"/>
        </w:rPr>
      </w:pPr>
      <w:r>
        <w:rPr>
          <w:rFonts w:ascii="Verdana" w:eastAsia="Times New Roman" w:hAnsi="Verdana" w:cs="Times New Roman"/>
          <w:szCs w:val="18"/>
        </w:rPr>
        <w:t>Aşağıdaki tablolarda son üç yıla ilişkin kategori dağılımı ile 2022-2021 ve 2021-2020 yıllarına yönelik karşılaştırmalar yapılmıştır. Rakamlardan da görüleceği üzere 2022 yılında en büyük düşüş Yetişkin</w:t>
      </w:r>
      <w:r w:rsidR="00C7657A">
        <w:rPr>
          <w:rFonts w:ascii="Verdana" w:eastAsia="Times New Roman" w:hAnsi="Verdana" w:cs="Times New Roman"/>
          <w:szCs w:val="18"/>
        </w:rPr>
        <w:t xml:space="preserve"> </w:t>
      </w:r>
      <w:r>
        <w:rPr>
          <w:rFonts w:ascii="Verdana" w:eastAsia="Times New Roman" w:hAnsi="Verdana" w:cs="Times New Roman"/>
          <w:szCs w:val="18"/>
        </w:rPr>
        <w:t xml:space="preserve">(Araştırma-İnceleme) ve Eğitim kategorisinde üretilen kitaplarda yaşanmıştır. 2022 yılında Eğitim kategorisinde üretilen kitaplar ilk kez %50 bandının aşağısına gerilemiştir ve bir önceki yıla göre %22 oranının üzerinde küçülme göstermiştir. İnanç ve İthal kategoride yer alan kitaplar ise en yüksek oransal artışı kaydetmiştir. </w:t>
      </w:r>
    </w:p>
    <w:p w:rsidR="00A9254B" w:rsidRDefault="00A9254B">
      <w:pPr>
        <w:jc w:val="both"/>
        <w:rPr>
          <w:rFonts w:ascii="Verdana" w:eastAsia="Times New Roman" w:hAnsi="Verdana" w:cs="Times New Roman"/>
          <w:sz w:val="20"/>
          <w:szCs w:val="18"/>
        </w:rPr>
      </w:pPr>
      <w:bookmarkStart w:id="0" w:name="_GoBack"/>
      <w:bookmarkEnd w:id="0"/>
    </w:p>
    <w:tbl>
      <w:tblPr>
        <w:tblW w:w="11480" w:type="dxa"/>
        <w:jc w:val="center"/>
        <w:tblCellMar>
          <w:left w:w="70" w:type="dxa"/>
          <w:right w:w="70" w:type="dxa"/>
        </w:tblCellMar>
        <w:tblLook w:val="04A0" w:firstRow="1" w:lastRow="0" w:firstColumn="1" w:lastColumn="0" w:noHBand="0" w:noVBand="1"/>
      </w:tblPr>
      <w:tblGrid>
        <w:gridCol w:w="3260"/>
        <w:gridCol w:w="1612"/>
        <w:gridCol w:w="1128"/>
        <w:gridCol w:w="1612"/>
        <w:gridCol w:w="1128"/>
        <w:gridCol w:w="1612"/>
        <w:gridCol w:w="1128"/>
      </w:tblGrid>
      <w:tr w:rsidR="00A9254B">
        <w:trPr>
          <w:trHeight w:val="297"/>
          <w:jc w:val="center"/>
        </w:trPr>
        <w:tc>
          <w:tcPr>
            <w:tcW w:w="3260" w:type="dxa"/>
            <w:tcBorders>
              <w:top w:val="nil"/>
              <w:left w:val="nil"/>
              <w:bottom w:val="nil"/>
              <w:right w:val="nil"/>
            </w:tcBorders>
            <w:shd w:val="clear" w:color="auto" w:fill="auto"/>
            <w:noWrap/>
            <w:vAlign w:val="bottom"/>
          </w:tcPr>
          <w:p w:rsidR="00A9254B" w:rsidRDefault="00A9254B">
            <w:pPr>
              <w:spacing w:after="0" w:line="240" w:lineRule="auto"/>
              <w:rPr>
                <w:rFonts w:ascii="Calibri" w:eastAsia="Times New Roman" w:hAnsi="Calibri" w:cs="Times New Roman"/>
                <w:color w:val="000000"/>
                <w:lang w:eastAsia="tr-TR"/>
              </w:rPr>
            </w:pPr>
          </w:p>
        </w:tc>
        <w:tc>
          <w:tcPr>
            <w:tcW w:w="2740" w:type="dxa"/>
            <w:gridSpan w:val="2"/>
            <w:tcBorders>
              <w:top w:val="single" w:sz="8" w:space="0" w:color="auto"/>
              <w:left w:val="single" w:sz="8" w:space="0" w:color="000000"/>
              <w:bottom w:val="single" w:sz="8" w:space="0" w:color="auto"/>
              <w:right w:val="single" w:sz="8" w:space="0" w:color="000000"/>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2022</w:t>
            </w:r>
          </w:p>
        </w:tc>
        <w:tc>
          <w:tcPr>
            <w:tcW w:w="2740" w:type="dxa"/>
            <w:gridSpan w:val="2"/>
            <w:tcBorders>
              <w:top w:val="single" w:sz="8" w:space="0" w:color="auto"/>
              <w:left w:val="nil"/>
              <w:bottom w:val="single" w:sz="8" w:space="0" w:color="auto"/>
              <w:right w:val="single" w:sz="8" w:space="0" w:color="000000"/>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2021</w:t>
            </w:r>
          </w:p>
        </w:tc>
        <w:tc>
          <w:tcPr>
            <w:tcW w:w="2740" w:type="dxa"/>
            <w:gridSpan w:val="2"/>
            <w:tcBorders>
              <w:top w:val="single" w:sz="8" w:space="0" w:color="auto"/>
              <w:left w:val="nil"/>
              <w:bottom w:val="single" w:sz="8" w:space="0" w:color="auto"/>
              <w:right w:val="single" w:sz="8" w:space="0" w:color="000000"/>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2020</w:t>
            </w:r>
          </w:p>
        </w:tc>
      </w:tr>
      <w:tr w:rsidR="00A9254B">
        <w:trPr>
          <w:trHeight w:val="297"/>
          <w:jc w:val="center"/>
        </w:trPr>
        <w:tc>
          <w:tcPr>
            <w:tcW w:w="3260" w:type="dxa"/>
            <w:tcBorders>
              <w:top w:val="nil"/>
              <w:left w:val="nil"/>
              <w:bottom w:val="nil"/>
              <w:right w:val="nil"/>
            </w:tcBorders>
            <w:shd w:val="clear" w:color="auto" w:fill="auto"/>
            <w:noWrap/>
            <w:vAlign w:val="bottom"/>
          </w:tcPr>
          <w:p w:rsidR="00A9254B" w:rsidRDefault="00A9254B">
            <w:pPr>
              <w:spacing w:after="0" w:line="240" w:lineRule="auto"/>
              <w:rPr>
                <w:rFonts w:ascii="Calibri" w:eastAsia="Times New Roman" w:hAnsi="Calibri" w:cs="Times New Roman"/>
                <w:color w:val="000000"/>
                <w:lang w:eastAsia="tr-TR"/>
              </w:rPr>
            </w:pPr>
          </w:p>
        </w:tc>
        <w:tc>
          <w:tcPr>
            <w:tcW w:w="1612" w:type="dxa"/>
            <w:tcBorders>
              <w:top w:val="nil"/>
              <w:left w:val="single" w:sz="8" w:space="0" w:color="auto"/>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Adet</w:t>
            </w:r>
          </w:p>
        </w:tc>
        <w:tc>
          <w:tcPr>
            <w:tcW w:w="1127" w:type="dxa"/>
            <w:tcBorders>
              <w:top w:val="nil"/>
              <w:left w:val="nil"/>
              <w:bottom w:val="nil"/>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Oran</w:t>
            </w:r>
          </w:p>
        </w:tc>
        <w:tc>
          <w:tcPr>
            <w:tcW w:w="1612" w:type="dxa"/>
            <w:tcBorders>
              <w:top w:val="nil"/>
              <w:left w:val="nil"/>
              <w:bottom w:val="nil"/>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Adet</w:t>
            </w:r>
          </w:p>
        </w:tc>
        <w:tc>
          <w:tcPr>
            <w:tcW w:w="1127" w:type="dxa"/>
            <w:tcBorders>
              <w:top w:val="nil"/>
              <w:left w:val="nil"/>
              <w:bottom w:val="nil"/>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Oran</w:t>
            </w:r>
          </w:p>
        </w:tc>
        <w:tc>
          <w:tcPr>
            <w:tcW w:w="1612" w:type="dxa"/>
            <w:tcBorders>
              <w:top w:val="nil"/>
              <w:left w:val="nil"/>
              <w:bottom w:val="nil"/>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Adet</w:t>
            </w:r>
          </w:p>
        </w:tc>
        <w:tc>
          <w:tcPr>
            <w:tcW w:w="1127" w:type="dxa"/>
            <w:tcBorders>
              <w:top w:val="nil"/>
              <w:left w:val="nil"/>
              <w:bottom w:val="nil"/>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Oran</w:t>
            </w:r>
          </w:p>
        </w:tc>
      </w:tr>
      <w:tr w:rsidR="00A9254B">
        <w:trPr>
          <w:trHeight w:val="297"/>
          <w:jc w:val="center"/>
        </w:trPr>
        <w:tc>
          <w:tcPr>
            <w:tcW w:w="3260" w:type="dxa"/>
            <w:tcBorders>
              <w:top w:val="single" w:sz="8" w:space="0" w:color="auto"/>
              <w:left w:val="single" w:sz="8" w:space="0" w:color="auto"/>
              <w:bottom w:val="single" w:sz="8" w:space="0" w:color="auto"/>
              <w:right w:val="nil"/>
            </w:tcBorders>
            <w:shd w:val="clear" w:color="000000" w:fill="FFFF00"/>
            <w:noWrap/>
            <w:vAlign w:val="center"/>
          </w:tcPr>
          <w:p w:rsidR="00A9254B" w:rsidRDefault="00267622">
            <w:pPr>
              <w:spacing w:after="0" w:line="240" w:lineRule="auto"/>
              <w:rPr>
                <w:rFonts w:ascii="Calibri" w:eastAsia="Times New Roman" w:hAnsi="Calibri" w:cs="Times New Roman"/>
                <w:b/>
                <w:bCs/>
                <w:color w:val="000000"/>
                <w:sz w:val="20"/>
                <w:lang w:eastAsia="tr-TR"/>
              </w:rPr>
            </w:pPr>
            <w:r>
              <w:rPr>
                <w:rFonts w:ascii="Calibri" w:eastAsia="Times New Roman" w:hAnsi="Calibri" w:cs="Times New Roman"/>
                <w:b/>
                <w:bCs/>
                <w:color w:val="000000"/>
                <w:sz w:val="20"/>
                <w:lang w:eastAsia="tr-TR"/>
              </w:rPr>
              <w:t>Yetişkin(Araştırma, inceleme vb.)</w:t>
            </w:r>
          </w:p>
        </w:tc>
        <w:tc>
          <w:tcPr>
            <w:tcW w:w="1612" w:type="dxa"/>
            <w:tcBorders>
              <w:top w:val="nil"/>
              <w:left w:val="single" w:sz="8" w:space="0" w:color="auto"/>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73.844.863</w:t>
            </w:r>
          </w:p>
        </w:tc>
        <w:tc>
          <w:tcPr>
            <w:tcW w:w="1127" w:type="dxa"/>
            <w:tcBorders>
              <w:top w:val="single" w:sz="8" w:space="0" w:color="auto"/>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19,42%</w:t>
            </w:r>
          </w:p>
        </w:tc>
        <w:tc>
          <w:tcPr>
            <w:tcW w:w="1612" w:type="dxa"/>
            <w:tcBorders>
              <w:top w:val="single" w:sz="8" w:space="0" w:color="auto"/>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90.379.535</w:t>
            </w:r>
          </w:p>
        </w:tc>
        <w:tc>
          <w:tcPr>
            <w:tcW w:w="1127" w:type="dxa"/>
            <w:tcBorders>
              <w:top w:val="single" w:sz="8" w:space="0" w:color="auto"/>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20,60%</w:t>
            </w:r>
          </w:p>
        </w:tc>
        <w:tc>
          <w:tcPr>
            <w:tcW w:w="1612" w:type="dxa"/>
            <w:tcBorders>
              <w:top w:val="single" w:sz="8" w:space="0" w:color="auto"/>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90.201.549</w:t>
            </w:r>
          </w:p>
        </w:tc>
        <w:tc>
          <w:tcPr>
            <w:tcW w:w="1127" w:type="dxa"/>
            <w:tcBorders>
              <w:top w:val="single" w:sz="8" w:space="0" w:color="auto"/>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20,80%</w:t>
            </w:r>
          </w:p>
        </w:tc>
      </w:tr>
      <w:tr w:rsidR="00A9254B">
        <w:trPr>
          <w:trHeight w:val="297"/>
          <w:jc w:val="center"/>
        </w:trPr>
        <w:tc>
          <w:tcPr>
            <w:tcW w:w="3260" w:type="dxa"/>
            <w:tcBorders>
              <w:top w:val="nil"/>
              <w:left w:val="single" w:sz="8" w:space="0" w:color="auto"/>
              <w:bottom w:val="single" w:sz="8" w:space="0" w:color="auto"/>
              <w:right w:val="nil"/>
            </w:tcBorders>
            <w:shd w:val="clear" w:color="000000" w:fill="FFFF00"/>
            <w:noWrap/>
            <w:vAlign w:val="center"/>
          </w:tcPr>
          <w:p w:rsidR="00A9254B" w:rsidRDefault="00267622">
            <w:pPr>
              <w:spacing w:after="0" w:line="240" w:lineRule="auto"/>
              <w:rPr>
                <w:rFonts w:ascii="Calibri" w:eastAsia="Times New Roman" w:hAnsi="Calibri" w:cs="Times New Roman"/>
                <w:b/>
                <w:bCs/>
                <w:color w:val="000000"/>
                <w:sz w:val="20"/>
                <w:lang w:eastAsia="tr-TR"/>
              </w:rPr>
            </w:pPr>
            <w:r>
              <w:rPr>
                <w:rFonts w:ascii="Calibri" w:eastAsia="Times New Roman" w:hAnsi="Calibri" w:cs="Times New Roman"/>
                <w:b/>
                <w:bCs/>
                <w:color w:val="000000"/>
                <w:sz w:val="20"/>
                <w:lang w:eastAsia="tr-TR"/>
              </w:rPr>
              <w:t>Yetişkin Kurgu(Edebiyat, sanat vb.)</w:t>
            </w:r>
          </w:p>
        </w:tc>
        <w:tc>
          <w:tcPr>
            <w:tcW w:w="1612" w:type="dxa"/>
            <w:tcBorders>
              <w:top w:val="nil"/>
              <w:left w:val="single" w:sz="8" w:space="0" w:color="auto"/>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34.299.328</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9,02%</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31.183.411</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7,10%</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32.354.331</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7,50%</w:t>
            </w:r>
          </w:p>
        </w:tc>
      </w:tr>
      <w:tr w:rsidR="00A9254B">
        <w:trPr>
          <w:trHeight w:val="297"/>
          <w:jc w:val="center"/>
        </w:trPr>
        <w:tc>
          <w:tcPr>
            <w:tcW w:w="3260" w:type="dxa"/>
            <w:tcBorders>
              <w:top w:val="nil"/>
              <w:left w:val="single" w:sz="8" w:space="0" w:color="auto"/>
              <w:bottom w:val="single" w:sz="8" w:space="0" w:color="auto"/>
              <w:right w:val="nil"/>
            </w:tcBorders>
            <w:shd w:val="clear" w:color="000000" w:fill="FFFF00"/>
            <w:noWrap/>
            <w:vAlign w:val="center"/>
          </w:tcPr>
          <w:p w:rsidR="00A9254B" w:rsidRDefault="00267622">
            <w:pPr>
              <w:spacing w:after="0" w:line="240" w:lineRule="auto"/>
              <w:rPr>
                <w:rFonts w:ascii="Calibri" w:eastAsia="Times New Roman" w:hAnsi="Calibri" w:cs="Times New Roman"/>
                <w:b/>
                <w:bCs/>
                <w:color w:val="000000"/>
                <w:sz w:val="20"/>
                <w:lang w:eastAsia="tr-TR"/>
              </w:rPr>
            </w:pPr>
            <w:r>
              <w:rPr>
                <w:rFonts w:ascii="Calibri" w:eastAsia="Times New Roman" w:hAnsi="Calibri" w:cs="Times New Roman"/>
                <w:b/>
                <w:bCs/>
                <w:color w:val="000000"/>
                <w:sz w:val="20"/>
                <w:lang w:eastAsia="tr-TR"/>
              </w:rPr>
              <w:t>Çocuk-Gençlik</w:t>
            </w:r>
          </w:p>
        </w:tc>
        <w:tc>
          <w:tcPr>
            <w:tcW w:w="1612" w:type="dxa"/>
            <w:tcBorders>
              <w:top w:val="nil"/>
              <w:left w:val="single" w:sz="8" w:space="0" w:color="auto"/>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46.048.282</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12,11%</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43.973.357</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10,00%</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44.763.278</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10,30%</w:t>
            </w:r>
          </w:p>
        </w:tc>
      </w:tr>
      <w:tr w:rsidR="00A9254B">
        <w:trPr>
          <w:trHeight w:val="297"/>
          <w:jc w:val="center"/>
        </w:trPr>
        <w:tc>
          <w:tcPr>
            <w:tcW w:w="3260" w:type="dxa"/>
            <w:tcBorders>
              <w:top w:val="nil"/>
              <w:left w:val="single" w:sz="8" w:space="0" w:color="auto"/>
              <w:bottom w:val="single" w:sz="8" w:space="0" w:color="auto"/>
              <w:right w:val="nil"/>
            </w:tcBorders>
            <w:shd w:val="clear" w:color="000000" w:fill="FFFF00"/>
            <w:noWrap/>
            <w:vAlign w:val="center"/>
          </w:tcPr>
          <w:p w:rsidR="00A9254B" w:rsidRDefault="00267622">
            <w:pPr>
              <w:spacing w:after="0" w:line="240" w:lineRule="auto"/>
              <w:rPr>
                <w:rFonts w:ascii="Calibri" w:eastAsia="Times New Roman" w:hAnsi="Calibri" w:cs="Times New Roman"/>
                <w:b/>
                <w:bCs/>
                <w:color w:val="000000"/>
                <w:sz w:val="20"/>
                <w:lang w:eastAsia="tr-TR"/>
              </w:rPr>
            </w:pPr>
            <w:r>
              <w:rPr>
                <w:rFonts w:ascii="Calibri" w:eastAsia="Times New Roman" w:hAnsi="Calibri" w:cs="Times New Roman"/>
                <w:b/>
                <w:bCs/>
                <w:color w:val="000000"/>
                <w:sz w:val="20"/>
                <w:lang w:eastAsia="tr-TR"/>
              </w:rPr>
              <w:t>Eğitim</w:t>
            </w:r>
          </w:p>
        </w:tc>
        <w:tc>
          <w:tcPr>
            <w:tcW w:w="1612" w:type="dxa"/>
            <w:tcBorders>
              <w:top w:val="nil"/>
              <w:left w:val="single" w:sz="8" w:space="0" w:color="auto"/>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182.148.008</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47,90%</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234.204.906</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53,40%</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228.730.321</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52,80%</w:t>
            </w:r>
          </w:p>
        </w:tc>
      </w:tr>
      <w:tr w:rsidR="00A9254B">
        <w:trPr>
          <w:trHeight w:val="297"/>
          <w:jc w:val="center"/>
        </w:trPr>
        <w:tc>
          <w:tcPr>
            <w:tcW w:w="3260" w:type="dxa"/>
            <w:tcBorders>
              <w:top w:val="nil"/>
              <w:left w:val="single" w:sz="8" w:space="0" w:color="auto"/>
              <w:bottom w:val="single" w:sz="8" w:space="0" w:color="auto"/>
              <w:right w:val="nil"/>
            </w:tcBorders>
            <w:shd w:val="clear" w:color="000000" w:fill="FFFF00"/>
            <w:noWrap/>
            <w:vAlign w:val="center"/>
          </w:tcPr>
          <w:p w:rsidR="00A9254B" w:rsidRDefault="00267622">
            <w:pPr>
              <w:spacing w:after="0" w:line="240" w:lineRule="auto"/>
              <w:rPr>
                <w:rFonts w:ascii="Calibri" w:eastAsia="Times New Roman" w:hAnsi="Calibri" w:cs="Times New Roman"/>
                <w:b/>
                <w:bCs/>
                <w:color w:val="000000"/>
                <w:sz w:val="20"/>
                <w:lang w:eastAsia="tr-TR"/>
              </w:rPr>
            </w:pPr>
            <w:r>
              <w:rPr>
                <w:rFonts w:ascii="Calibri" w:eastAsia="Times New Roman" w:hAnsi="Calibri" w:cs="Times New Roman"/>
                <w:b/>
                <w:bCs/>
                <w:color w:val="000000"/>
                <w:sz w:val="20"/>
                <w:lang w:eastAsia="tr-TR"/>
              </w:rPr>
              <w:t>Akademik</w:t>
            </w:r>
          </w:p>
        </w:tc>
        <w:tc>
          <w:tcPr>
            <w:tcW w:w="1612" w:type="dxa"/>
            <w:tcBorders>
              <w:top w:val="nil"/>
              <w:left w:val="single" w:sz="8" w:space="0" w:color="auto"/>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5.236.945</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1,38%</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6.220.481</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1,40%</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5.514.246</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1,30%</w:t>
            </w:r>
          </w:p>
        </w:tc>
      </w:tr>
      <w:tr w:rsidR="00A9254B">
        <w:trPr>
          <w:trHeight w:val="297"/>
          <w:jc w:val="center"/>
        </w:trPr>
        <w:tc>
          <w:tcPr>
            <w:tcW w:w="3260" w:type="dxa"/>
            <w:tcBorders>
              <w:top w:val="nil"/>
              <w:left w:val="single" w:sz="8" w:space="0" w:color="auto"/>
              <w:bottom w:val="single" w:sz="8" w:space="0" w:color="auto"/>
              <w:right w:val="nil"/>
            </w:tcBorders>
            <w:shd w:val="clear" w:color="000000" w:fill="FFFF00"/>
            <w:noWrap/>
            <w:vAlign w:val="center"/>
          </w:tcPr>
          <w:p w:rsidR="00A9254B" w:rsidRDefault="00267622">
            <w:pPr>
              <w:spacing w:after="0" w:line="240" w:lineRule="auto"/>
              <w:rPr>
                <w:rFonts w:ascii="Calibri" w:eastAsia="Times New Roman" w:hAnsi="Calibri" w:cs="Times New Roman"/>
                <w:b/>
                <w:bCs/>
                <w:color w:val="000000"/>
                <w:sz w:val="20"/>
                <w:lang w:eastAsia="tr-TR"/>
              </w:rPr>
            </w:pPr>
            <w:r>
              <w:rPr>
                <w:rFonts w:ascii="Calibri" w:eastAsia="Times New Roman" w:hAnsi="Calibri" w:cs="Times New Roman"/>
                <w:b/>
                <w:bCs/>
                <w:color w:val="000000"/>
                <w:sz w:val="20"/>
                <w:lang w:eastAsia="tr-TR"/>
              </w:rPr>
              <w:t>İnanç(Her türlü dini yayın)</w:t>
            </w:r>
          </w:p>
        </w:tc>
        <w:tc>
          <w:tcPr>
            <w:tcW w:w="1612" w:type="dxa"/>
            <w:tcBorders>
              <w:top w:val="nil"/>
              <w:left w:val="single" w:sz="8" w:space="0" w:color="auto"/>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33.009.072</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8,68%</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27.909.066</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6,40%</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26.693.426</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6,20%</w:t>
            </w:r>
          </w:p>
        </w:tc>
      </w:tr>
      <w:tr w:rsidR="00A9254B">
        <w:trPr>
          <w:trHeight w:val="297"/>
          <w:jc w:val="center"/>
        </w:trPr>
        <w:tc>
          <w:tcPr>
            <w:tcW w:w="3260" w:type="dxa"/>
            <w:tcBorders>
              <w:top w:val="nil"/>
              <w:left w:val="single" w:sz="8" w:space="0" w:color="auto"/>
              <w:bottom w:val="single" w:sz="8" w:space="0" w:color="auto"/>
              <w:right w:val="nil"/>
            </w:tcBorders>
            <w:shd w:val="clear" w:color="000000" w:fill="FFFF00"/>
            <w:noWrap/>
            <w:vAlign w:val="center"/>
          </w:tcPr>
          <w:p w:rsidR="00A9254B" w:rsidRDefault="00267622">
            <w:pPr>
              <w:spacing w:after="0" w:line="240" w:lineRule="auto"/>
              <w:rPr>
                <w:rFonts w:ascii="Calibri" w:eastAsia="Times New Roman" w:hAnsi="Calibri" w:cs="Times New Roman"/>
                <w:b/>
                <w:bCs/>
                <w:color w:val="000000"/>
                <w:sz w:val="20"/>
                <w:lang w:eastAsia="tr-TR"/>
              </w:rPr>
            </w:pPr>
            <w:r>
              <w:rPr>
                <w:rFonts w:ascii="Calibri" w:eastAsia="Times New Roman" w:hAnsi="Calibri" w:cs="Times New Roman"/>
                <w:b/>
                <w:bCs/>
                <w:color w:val="000000"/>
                <w:sz w:val="20"/>
                <w:lang w:eastAsia="tr-TR"/>
              </w:rPr>
              <w:t>İthal</w:t>
            </w:r>
          </w:p>
        </w:tc>
        <w:tc>
          <w:tcPr>
            <w:tcW w:w="1612" w:type="dxa"/>
            <w:tcBorders>
              <w:top w:val="nil"/>
              <w:left w:val="single" w:sz="8" w:space="0" w:color="auto"/>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5.709.704</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1,50%</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4.809.108</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1,10%</w:t>
            </w:r>
          </w:p>
        </w:tc>
        <w:tc>
          <w:tcPr>
            <w:tcW w:w="1612"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4.956.481</w:t>
            </w:r>
          </w:p>
        </w:tc>
        <w:tc>
          <w:tcPr>
            <w:tcW w:w="1127" w:type="dxa"/>
            <w:tcBorders>
              <w:top w:val="nil"/>
              <w:left w:val="nil"/>
              <w:bottom w:val="single" w:sz="8" w:space="0" w:color="auto"/>
              <w:right w:val="single" w:sz="8" w:space="0" w:color="auto"/>
            </w:tcBorders>
            <w:shd w:val="clear" w:color="000000" w:fill="FDE9D9"/>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1,10%</w:t>
            </w:r>
          </w:p>
        </w:tc>
      </w:tr>
      <w:tr w:rsidR="00A9254B">
        <w:trPr>
          <w:trHeight w:val="297"/>
          <w:jc w:val="center"/>
        </w:trPr>
        <w:tc>
          <w:tcPr>
            <w:tcW w:w="3260" w:type="dxa"/>
            <w:tcBorders>
              <w:top w:val="nil"/>
              <w:left w:val="single" w:sz="8" w:space="0" w:color="auto"/>
              <w:bottom w:val="single" w:sz="8" w:space="0" w:color="auto"/>
              <w:right w:val="single" w:sz="8" w:space="0" w:color="auto"/>
            </w:tcBorders>
            <w:shd w:val="clear" w:color="000000" w:fill="FFFF00"/>
            <w:noWrap/>
            <w:vAlign w:val="center"/>
          </w:tcPr>
          <w:p w:rsidR="00A9254B" w:rsidRDefault="00267622">
            <w:pPr>
              <w:spacing w:after="0" w:line="240" w:lineRule="auto"/>
              <w:rPr>
                <w:rFonts w:ascii="Calibri" w:eastAsia="Times New Roman" w:hAnsi="Calibri" w:cs="Times New Roman"/>
                <w:b/>
                <w:bCs/>
                <w:color w:val="000000"/>
                <w:sz w:val="20"/>
                <w:lang w:eastAsia="tr-TR"/>
              </w:rPr>
            </w:pPr>
            <w:r>
              <w:rPr>
                <w:rFonts w:ascii="Calibri" w:eastAsia="Times New Roman" w:hAnsi="Calibri" w:cs="Times New Roman"/>
                <w:b/>
                <w:bCs/>
                <w:color w:val="000000"/>
                <w:sz w:val="20"/>
                <w:lang w:eastAsia="tr-TR"/>
              </w:rPr>
              <w:t>Toplam</w:t>
            </w:r>
          </w:p>
        </w:tc>
        <w:tc>
          <w:tcPr>
            <w:tcW w:w="1612"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380.296.402</w:t>
            </w:r>
          </w:p>
        </w:tc>
        <w:tc>
          <w:tcPr>
            <w:tcW w:w="112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100,00%</w:t>
            </w:r>
          </w:p>
        </w:tc>
        <w:tc>
          <w:tcPr>
            <w:tcW w:w="1612"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438.679.864</w:t>
            </w:r>
          </w:p>
        </w:tc>
        <w:tc>
          <w:tcPr>
            <w:tcW w:w="112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100,00%</w:t>
            </w:r>
          </w:p>
        </w:tc>
        <w:tc>
          <w:tcPr>
            <w:tcW w:w="1612"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433.213.632</w:t>
            </w:r>
          </w:p>
        </w:tc>
        <w:tc>
          <w:tcPr>
            <w:tcW w:w="112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100,00%</w:t>
            </w:r>
          </w:p>
        </w:tc>
      </w:tr>
    </w:tbl>
    <w:p w:rsidR="00A9254B" w:rsidRDefault="00A9254B">
      <w:pPr>
        <w:jc w:val="both"/>
        <w:rPr>
          <w:rFonts w:ascii="Verdana" w:eastAsia="Times New Roman" w:hAnsi="Verdana" w:cs="Times New Roman"/>
          <w:sz w:val="20"/>
          <w:szCs w:val="18"/>
        </w:rPr>
      </w:pPr>
    </w:p>
    <w:p w:rsidR="00A9254B" w:rsidRDefault="00A9254B">
      <w:pPr>
        <w:jc w:val="both"/>
        <w:rPr>
          <w:rFonts w:ascii="Verdana" w:eastAsia="Times New Roman" w:hAnsi="Verdana" w:cs="Times New Roman"/>
          <w:sz w:val="20"/>
          <w:szCs w:val="18"/>
        </w:rPr>
      </w:pPr>
    </w:p>
    <w:tbl>
      <w:tblPr>
        <w:tblpPr w:leftFromText="141" w:rightFromText="141" w:vertAnchor="text" w:horzAnchor="margin" w:tblpXSpec="center" w:tblpY="24"/>
        <w:tblW w:w="11627" w:type="dxa"/>
        <w:tblCellMar>
          <w:left w:w="70" w:type="dxa"/>
          <w:right w:w="70" w:type="dxa"/>
        </w:tblCellMar>
        <w:tblLook w:val="04A0" w:firstRow="1" w:lastRow="0" w:firstColumn="1" w:lastColumn="0" w:noHBand="0" w:noVBand="1"/>
      </w:tblPr>
      <w:tblGrid>
        <w:gridCol w:w="1411"/>
        <w:gridCol w:w="1277"/>
        <w:gridCol w:w="1277"/>
        <w:gridCol w:w="1277"/>
        <w:gridCol w:w="1277"/>
        <w:gridCol w:w="1277"/>
        <w:gridCol w:w="1277"/>
        <w:gridCol w:w="1277"/>
        <w:gridCol w:w="1277"/>
      </w:tblGrid>
      <w:tr w:rsidR="00A9254B">
        <w:trPr>
          <w:trHeight w:val="283"/>
        </w:trPr>
        <w:tc>
          <w:tcPr>
            <w:tcW w:w="1411" w:type="dxa"/>
            <w:vMerge w:val="restart"/>
            <w:tcBorders>
              <w:top w:val="nil"/>
              <w:left w:val="nil"/>
              <w:bottom w:val="single" w:sz="8" w:space="0" w:color="000000"/>
              <w:right w:val="single" w:sz="8" w:space="0" w:color="auto"/>
            </w:tcBorders>
            <w:shd w:val="clear" w:color="auto" w:fill="auto"/>
            <w:noWrap/>
            <w:vAlign w:val="center"/>
          </w:tcPr>
          <w:p w:rsidR="00A9254B" w:rsidRDefault="00267622">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 </w:t>
            </w:r>
          </w:p>
        </w:tc>
        <w:tc>
          <w:tcPr>
            <w:tcW w:w="1277" w:type="dxa"/>
            <w:tcBorders>
              <w:top w:val="single" w:sz="8" w:space="0" w:color="auto"/>
              <w:left w:val="nil"/>
              <w:bottom w:val="nil"/>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Yetişkin</w:t>
            </w:r>
          </w:p>
        </w:tc>
        <w:tc>
          <w:tcPr>
            <w:tcW w:w="1277" w:type="dxa"/>
            <w:tcBorders>
              <w:top w:val="single" w:sz="8" w:space="0" w:color="auto"/>
              <w:left w:val="nil"/>
              <w:bottom w:val="nil"/>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Yetişkin Kurgu</w:t>
            </w:r>
          </w:p>
        </w:tc>
        <w:tc>
          <w:tcPr>
            <w:tcW w:w="1277" w:type="dxa"/>
            <w:vMerge w:val="restart"/>
            <w:tcBorders>
              <w:top w:val="single" w:sz="8" w:space="0" w:color="auto"/>
              <w:left w:val="single" w:sz="8" w:space="0" w:color="000000"/>
              <w:bottom w:val="single" w:sz="8" w:space="0" w:color="000000"/>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Çocuk-Gençlik</w:t>
            </w:r>
          </w:p>
        </w:tc>
        <w:tc>
          <w:tcPr>
            <w:tcW w:w="1277" w:type="dxa"/>
            <w:vMerge w:val="restart"/>
            <w:tcBorders>
              <w:top w:val="single" w:sz="8" w:space="0" w:color="auto"/>
              <w:left w:val="single" w:sz="8" w:space="0" w:color="000000"/>
              <w:bottom w:val="single" w:sz="8" w:space="0" w:color="000000"/>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Eğitim</w:t>
            </w:r>
          </w:p>
        </w:tc>
        <w:tc>
          <w:tcPr>
            <w:tcW w:w="1277" w:type="dxa"/>
            <w:vMerge w:val="restart"/>
            <w:tcBorders>
              <w:top w:val="single" w:sz="8" w:space="0" w:color="auto"/>
              <w:left w:val="single" w:sz="8" w:space="0" w:color="000000"/>
              <w:bottom w:val="single" w:sz="8" w:space="0" w:color="000000"/>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Akademik</w:t>
            </w:r>
          </w:p>
        </w:tc>
        <w:tc>
          <w:tcPr>
            <w:tcW w:w="1277" w:type="dxa"/>
            <w:tcBorders>
              <w:top w:val="single" w:sz="8" w:space="0" w:color="auto"/>
              <w:left w:val="nil"/>
              <w:bottom w:val="nil"/>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İnanç</w:t>
            </w:r>
          </w:p>
        </w:tc>
        <w:tc>
          <w:tcPr>
            <w:tcW w:w="1277" w:type="dxa"/>
            <w:vMerge w:val="restart"/>
            <w:tcBorders>
              <w:top w:val="single" w:sz="8" w:space="0" w:color="auto"/>
              <w:left w:val="single" w:sz="8" w:space="0" w:color="000000"/>
              <w:bottom w:val="single" w:sz="8" w:space="0" w:color="000000"/>
              <w:right w:val="single" w:sz="8" w:space="0" w:color="auto"/>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İthal</w:t>
            </w:r>
          </w:p>
        </w:tc>
        <w:tc>
          <w:tcPr>
            <w:tcW w:w="1277"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Genel Toplam</w:t>
            </w:r>
          </w:p>
        </w:tc>
      </w:tr>
      <w:tr w:rsidR="00A9254B">
        <w:trPr>
          <w:trHeight w:val="580"/>
        </w:trPr>
        <w:tc>
          <w:tcPr>
            <w:tcW w:w="1411" w:type="dxa"/>
            <w:vMerge/>
            <w:tcBorders>
              <w:top w:val="nil"/>
              <w:left w:val="nil"/>
              <w:bottom w:val="single" w:sz="8" w:space="0" w:color="000000"/>
              <w:right w:val="single" w:sz="8" w:space="0" w:color="auto"/>
            </w:tcBorders>
            <w:vAlign w:val="center"/>
          </w:tcPr>
          <w:p w:rsidR="00A9254B" w:rsidRDefault="00A9254B">
            <w:pPr>
              <w:spacing w:after="0" w:line="240" w:lineRule="auto"/>
              <w:rPr>
                <w:rFonts w:ascii="Calibri" w:eastAsia="Times New Roman" w:hAnsi="Calibri" w:cs="Times New Roman"/>
                <w:color w:val="000000"/>
                <w:lang w:eastAsia="tr-TR"/>
              </w:rPr>
            </w:pPr>
          </w:p>
        </w:tc>
        <w:tc>
          <w:tcPr>
            <w:tcW w:w="1277" w:type="dxa"/>
            <w:tcBorders>
              <w:top w:val="nil"/>
              <w:left w:val="nil"/>
              <w:bottom w:val="single" w:sz="8" w:space="0" w:color="auto"/>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(Araştırma, inceleme vb.)</w:t>
            </w:r>
          </w:p>
        </w:tc>
        <w:tc>
          <w:tcPr>
            <w:tcW w:w="1277" w:type="dxa"/>
            <w:tcBorders>
              <w:top w:val="nil"/>
              <w:left w:val="nil"/>
              <w:bottom w:val="single" w:sz="8" w:space="0" w:color="auto"/>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(Edebiyat, sanat vb.)</w:t>
            </w:r>
          </w:p>
        </w:tc>
        <w:tc>
          <w:tcPr>
            <w:tcW w:w="1277" w:type="dxa"/>
            <w:vMerge/>
            <w:tcBorders>
              <w:top w:val="single" w:sz="8" w:space="0" w:color="auto"/>
              <w:left w:val="single" w:sz="8" w:space="0" w:color="000000"/>
              <w:bottom w:val="single" w:sz="8" w:space="0" w:color="000000"/>
              <w:right w:val="single" w:sz="8" w:space="0" w:color="000000"/>
            </w:tcBorders>
            <w:vAlign w:val="center"/>
          </w:tcPr>
          <w:p w:rsidR="00A9254B" w:rsidRDefault="00A9254B">
            <w:pPr>
              <w:spacing w:after="0" w:line="240" w:lineRule="auto"/>
              <w:jc w:val="center"/>
              <w:rPr>
                <w:rFonts w:ascii="Calibri" w:eastAsia="Times New Roman" w:hAnsi="Calibri" w:cs="Times New Roman"/>
                <w:b/>
                <w:bCs/>
                <w:color w:val="000000"/>
                <w:lang w:eastAsia="tr-TR"/>
              </w:rPr>
            </w:pPr>
          </w:p>
        </w:tc>
        <w:tc>
          <w:tcPr>
            <w:tcW w:w="1277" w:type="dxa"/>
            <w:vMerge/>
            <w:tcBorders>
              <w:top w:val="single" w:sz="8" w:space="0" w:color="auto"/>
              <w:left w:val="single" w:sz="8" w:space="0" w:color="000000"/>
              <w:bottom w:val="single" w:sz="8" w:space="0" w:color="000000"/>
              <w:right w:val="single" w:sz="8" w:space="0" w:color="000000"/>
            </w:tcBorders>
            <w:vAlign w:val="center"/>
          </w:tcPr>
          <w:p w:rsidR="00A9254B" w:rsidRDefault="00A9254B">
            <w:pPr>
              <w:spacing w:after="0" w:line="240" w:lineRule="auto"/>
              <w:jc w:val="center"/>
              <w:rPr>
                <w:rFonts w:ascii="Calibri" w:eastAsia="Times New Roman" w:hAnsi="Calibri" w:cs="Times New Roman"/>
                <w:b/>
                <w:bCs/>
                <w:color w:val="000000"/>
                <w:lang w:eastAsia="tr-TR"/>
              </w:rPr>
            </w:pPr>
          </w:p>
        </w:tc>
        <w:tc>
          <w:tcPr>
            <w:tcW w:w="1277" w:type="dxa"/>
            <w:vMerge/>
            <w:tcBorders>
              <w:top w:val="single" w:sz="8" w:space="0" w:color="auto"/>
              <w:left w:val="single" w:sz="8" w:space="0" w:color="000000"/>
              <w:bottom w:val="single" w:sz="8" w:space="0" w:color="000000"/>
              <w:right w:val="single" w:sz="8" w:space="0" w:color="000000"/>
            </w:tcBorders>
            <w:vAlign w:val="center"/>
          </w:tcPr>
          <w:p w:rsidR="00A9254B" w:rsidRDefault="00A9254B">
            <w:pPr>
              <w:spacing w:after="0" w:line="240" w:lineRule="auto"/>
              <w:jc w:val="center"/>
              <w:rPr>
                <w:rFonts w:ascii="Calibri" w:eastAsia="Times New Roman" w:hAnsi="Calibri" w:cs="Times New Roman"/>
                <w:b/>
                <w:bCs/>
                <w:color w:val="000000"/>
                <w:lang w:eastAsia="tr-TR"/>
              </w:rPr>
            </w:pPr>
          </w:p>
        </w:tc>
        <w:tc>
          <w:tcPr>
            <w:tcW w:w="1277" w:type="dxa"/>
            <w:tcBorders>
              <w:top w:val="nil"/>
              <w:left w:val="nil"/>
              <w:bottom w:val="single" w:sz="8" w:space="0" w:color="auto"/>
              <w:right w:val="single" w:sz="8" w:space="0" w:color="000000"/>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(Her türlü dini yayın)</w:t>
            </w:r>
          </w:p>
        </w:tc>
        <w:tc>
          <w:tcPr>
            <w:tcW w:w="1277" w:type="dxa"/>
            <w:vMerge/>
            <w:tcBorders>
              <w:top w:val="single" w:sz="8" w:space="0" w:color="auto"/>
              <w:left w:val="single" w:sz="8" w:space="0" w:color="000000"/>
              <w:bottom w:val="single" w:sz="8" w:space="0" w:color="000000"/>
              <w:right w:val="single" w:sz="8" w:space="0" w:color="auto"/>
            </w:tcBorders>
            <w:vAlign w:val="center"/>
          </w:tcPr>
          <w:p w:rsidR="00A9254B" w:rsidRDefault="00A9254B">
            <w:pPr>
              <w:spacing w:after="0" w:line="240" w:lineRule="auto"/>
              <w:jc w:val="center"/>
              <w:rPr>
                <w:rFonts w:ascii="Calibri" w:eastAsia="Times New Roman" w:hAnsi="Calibri" w:cs="Times New Roman"/>
                <w:b/>
                <w:bCs/>
                <w:color w:val="000000"/>
                <w:lang w:eastAsia="tr-TR"/>
              </w:rPr>
            </w:pPr>
          </w:p>
        </w:tc>
        <w:tc>
          <w:tcPr>
            <w:tcW w:w="1277" w:type="dxa"/>
            <w:vMerge/>
            <w:tcBorders>
              <w:top w:val="single" w:sz="8" w:space="0" w:color="auto"/>
              <w:left w:val="single" w:sz="8" w:space="0" w:color="auto"/>
              <w:bottom w:val="single" w:sz="8" w:space="0" w:color="000000"/>
              <w:right w:val="single" w:sz="8" w:space="0" w:color="auto"/>
            </w:tcBorders>
            <w:vAlign w:val="center"/>
          </w:tcPr>
          <w:p w:rsidR="00A9254B" w:rsidRDefault="00A9254B">
            <w:pPr>
              <w:spacing w:after="0" w:line="240" w:lineRule="auto"/>
              <w:jc w:val="center"/>
              <w:rPr>
                <w:rFonts w:ascii="Calibri" w:eastAsia="Times New Roman" w:hAnsi="Calibri" w:cs="Times New Roman"/>
                <w:b/>
                <w:bCs/>
                <w:color w:val="000000"/>
                <w:lang w:eastAsia="tr-TR"/>
              </w:rPr>
            </w:pPr>
          </w:p>
        </w:tc>
      </w:tr>
      <w:tr w:rsidR="00A9254B">
        <w:trPr>
          <w:trHeight w:val="297"/>
        </w:trPr>
        <w:tc>
          <w:tcPr>
            <w:tcW w:w="1411" w:type="dxa"/>
            <w:tcBorders>
              <w:top w:val="nil"/>
              <w:left w:val="single" w:sz="8" w:space="0" w:color="auto"/>
              <w:bottom w:val="single" w:sz="8" w:space="0" w:color="auto"/>
              <w:right w:val="single" w:sz="8" w:space="0" w:color="auto"/>
            </w:tcBorders>
            <w:shd w:val="clear" w:color="000000" w:fill="F2DCDB"/>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2022</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73.844.863</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34.299.328</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46.048.282</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182.148.008</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5.236.945</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33.009.072</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5.709.704</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380.296.402</w:t>
            </w:r>
          </w:p>
        </w:tc>
      </w:tr>
      <w:tr w:rsidR="00A9254B">
        <w:trPr>
          <w:trHeight w:val="297"/>
        </w:trPr>
        <w:tc>
          <w:tcPr>
            <w:tcW w:w="1411" w:type="dxa"/>
            <w:tcBorders>
              <w:top w:val="nil"/>
              <w:left w:val="single" w:sz="8" w:space="0" w:color="auto"/>
              <w:bottom w:val="single" w:sz="8" w:space="0" w:color="auto"/>
              <w:right w:val="single" w:sz="8" w:space="0" w:color="auto"/>
            </w:tcBorders>
            <w:shd w:val="clear" w:color="000000" w:fill="F2DCDB"/>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2021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90.379.535</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31.183.411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43.973.357</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234.204.906</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6.220.481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27.909.066</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4.809.108</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438.679.864</w:t>
            </w:r>
          </w:p>
        </w:tc>
      </w:tr>
      <w:tr w:rsidR="00A9254B">
        <w:trPr>
          <w:trHeight w:val="297"/>
        </w:trPr>
        <w:tc>
          <w:tcPr>
            <w:tcW w:w="1411" w:type="dxa"/>
            <w:tcBorders>
              <w:top w:val="nil"/>
              <w:left w:val="single" w:sz="8" w:space="0" w:color="auto"/>
              <w:bottom w:val="single" w:sz="8" w:space="0" w:color="auto"/>
              <w:right w:val="single" w:sz="8" w:space="0" w:color="auto"/>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Değişim(%)</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-18,29%</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9,99%</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4,72%</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-22,23%</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-15,81%</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18,27%</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18,73%</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-13,31%</w:t>
            </w:r>
          </w:p>
        </w:tc>
      </w:tr>
      <w:tr w:rsidR="00A9254B">
        <w:trPr>
          <w:trHeight w:val="297"/>
        </w:trPr>
        <w:tc>
          <w:tcPr>
            <w:tcW w:w="1411" w:type="dxa"/>
            <w:tcBorders>
              <w:top w:val="nil"/>
              <w:left w:val="single" w:sz="8" w:space="0" w:color="auto"/>
              <w:bottom w:val="single" w:sz="8" w:space="0" w:color="auto"/>
              <w:right w:val="single" w:sz="8" w:space="0" w:color="auto"/>
            </w:tcBorders>
            <w:shd w:val="clear" w:color="000000" w:fill="FFFFFF"/>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w:t>
            </w:r>
          </w:p>
        </w:tc>
        <w:tc>
          <w:tcPr>
            <w:tcW w:w="1277" w:type="dxa"/>
            <w:tcBorders>
              <w:top w:val="nil"/>
              <w:left w:val="nil"/>
              <w:bottom w:val="single" w:sz="8" w:space="0" w:color="auto"/>
              <w:right w:val="single" w:sz="8" w:space="0" w:color="auto"/>
            </w:tcBorders>
            <w:shd w:val="clear" w:color="000000" w:fill="FFFFFF"/>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 </w:t>
            </w:r>
          </w:p>
        </w:tc>
        <w:tc>
          <w:tcPr>
            <w:tcW w:w="1277" w:type="dxa"/>
            <w:tcBorders>
              <w:top w:val="nil"/>
              <w:left w:val="nil"/>
              <w:bottom w:val="single" w:sz="8" w:space="0" w:color="auto"/>
              <w:right w:val="single" w:sz="8" w:space="0" w:color="auto"/>
            </w:tcBorders>
            <w:shd w:val="clear" w:color="000000" w:fill="FFFFFF"/>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 </w:t>
            </w:r>
          </w:p>
        </w:tc>
        <w:tc>
          <w:tcPr>
            <w:tcW w:w="1277" w:type="dxa"/>
            <w:tcBorders>
              <w:top w:val="nil"/>
              <w:left w:val="nil"/>
              <w:bottom w:val="single" w:sz="8" w:space="0" w:color="auto"/>
              <w:right w:val="single" w:sz="8" w:space="0" w:color="auto"/>
            </w:tcBorders>
            <w:shd w:val="clear" w:color="000000" w:fill="FFFFFF"/>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 </w:t>
            </w:r>
          </w:p>
        </w:tc>
        <w:tc>
          <w:tcPr>
            <w:tcW w:w="1277" w:type="dxa"/>
            <w:tcBorders>
              <w:top w:val="nil"/>
              <w:left w:val="nil"/>
              <w:bottom w:val="single" w:sz="8" w:space="0" w:color="auto"/>
              <w:right w:val="single" w:sz="8" w:space="0" w:color="auto"/>
            </w:tcBorders>
            <w:shd w:val="clear" w:color="000000" w:fill="FFFFFF"/>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 </w:t>
            </w:r>
          </w:p>
        </w:tc>
        <w:tc>
          <w:tcPr>
            <w:tcW w:w="1277" w:type="dxa"/>
            <w:tcBorders>
              <w:top w:val="nil"/>
              <w:left w:val="nil"/>
              <w:bottom w:val="single" w:sz="8" w:space="0" w:color="auto"/>
              <w:right w:val="single" w:sz="8" w:space="0" w:color="auto"/>
            </w:tcBorders>
            <w:shd w:val="clear" w:color="000000" w:fill="FFFFFF"/>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 </w:t>
            </w:r>
          </w:p>
        </w:tc>
        <w:tc>
          <w:tcPr>
            <w:tcW w:w="1277" w:type="dxa"/>
            <w:tcBorders>
              <w:top w:val="nil"/>
              <w:left w:val="nil"/>
              <w:bottom w:val="single" w:sz="8" w:space="0" w:color="auto"/>
              <w:right w:val="single" w:sz="8" w:space="0" w:color="auto"/>
            </w:tcBorders>
            <w:shd w:val="clear" w:color="000000" w:fill="FFFFFF"/>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 </w:t>
            </w:r>
          </w:p>
        </w:tc>
        <w:tc>
          <w:tcPr>
            <w:tcW w:w="1277" w:type="dxa"/>
            <w:tcBorders>
              <w:top w:val="nil"/>
              <w:left w:val="nil"/>
              <w:bottom w:val="single" w:sz="8" w:space="0" w:color="auto"/>
              <w:right w:val="single" w:sz="8" w:space="0" w:color="auto"/>
            </w:tcBorders>
            <w:shd w:val="clear" w:color="000000" w:fill="FFFFFF"/>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 </w:t>
            </w:r>
          </w:p>
        </w:tc>
        <w:tc>
          <w:tcPr>
            <w:tcW w:w="1277" w:type="dxa"/>
            <w:tcBorders>
              <w:top w:val="nil"/>
              <w:left w:val="nil"/>
              <w:bottom w:val="single" w:sz="8" w:space="0" w:color="auto"/>
              <w:right w:val="single" w:sz="8" w:space="0" w:color="auto"/>
            </w:tcBorders>
            <w:shd w:val="clear" w:color="000000" w:fill="FFFFFF"/>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 </w:t>
            </w:r>
          </w:p>
        </w:tc>
      </w:tr>
      <w:tr w:rsidR="00A9254B">
        <w:trPr>
          <w:trHeight w:val="297"/>
        </w:trPr>
        <w:tc>
          <w:tcPr>
            <w:tcW w:w="1411" w:type="dxa"/>
            <w:tcBorders>
              <w:top w:val="nil"/>
              <w:left w:val="single" w:sz="8" w:space="0" w:color="auto"/>
              <w:bottom w:val="single" w:sz="8" w:space="0" w:color="auto"/>
              <w:right w:val="single" w:sz="8" w:space="0" w:color="auto"/>
            </w:tcBorders>
            <w:shd w:val="clear" w:color="000000" w:fill="F2DCDB"/>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2021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90.379.535</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31.183.411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43.973.357</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234.204.906</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6.220.481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27.909.066</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4.809.108</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438.679.864</w:t>
            </w:r>
          </w:p>
        </w:tc>
      </w:tr>
      <w:tr w:rsidR="00A9254B">
        <w:trPr>
          <w:trHeight w:val="297"/>
        </w:trPr>
        <w:tc>
          <w:tcPr>
            <w:tcW w:w="1411" w:type="dxa"/>
            <w:tcBorders>
              <w:top w:val="nil"/>
              <w:left w:val="single" w:sz="8" w:space="0" w:color="auto"/>
              <w:bottom w:val="single" w:sz="8" w:space="0" w:color="auto"/>
              <w:right w:val="single" w:sz="8" w:space="0" w:color="auto"/>
            </w:tcBorders>
            <w:shd w:val="clear" w:color="000000" w:fill="F2DCDB"/>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2020</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90.201.549</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32.354.331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44.763.278</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228.730.321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5.514.246</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26.693.426</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4.956.481</w:t>
            </w:r>
          </w:p>
        </w:tc>
        <w:tc>
          <w:tcPr>
            <w:tcW w:w="1277" w:type="dxa"/>
            <w:tcBorders>
              <w:top w:val="nil"/>
              <w:left w:val="nil"/>
              <w:bottom w:val="single" w:sz="8" w:space="0" w:color="auto"/>
              <w:right w:val="single" w:sz="8" w:space="0" w:color="auto"/>
            </w:tcBorders>
            <w:shd w:val="clear" w:color="000000" w:fill="C5D9F1"/>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433.213.632</w:t>
            </w:r>
          </w:p>
        </w:tc>
      </w:tr>
      <w:tr w:rsidR="00A9254B">
        <w:trPr>
          <w:trHeight w:val="297"/>
        </w:trPr>
        <w:tc>
          <w:tcPr>
            <w:tcW w:w="1411" w:type="dxa"/>
            <w:tcBorders>
              <w:top w:val="nil"/>
              <w:left w:val="single" w:sz="8" w:space="0" w:color="auto"/>
              <w:bottom w:val="single" w:sz="8" w:space="0" w:color="auto"/>
              <w:right w:val="single" w:sz="8" w:space="0" w:color="auto"/>
            </w:tcBorders>
            <w:shd w:val="clear" w:color="000000" w:fill="FFFF00"/>
            <w:vAlign w:val="center"/>
          </w:tcPr>
          <w:p w:rsidR="00A9254B" w:rsidRDefault="00267622">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Değişim(%)</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0,20%</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-3,62%</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-1,76%</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2,39%</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12,81%</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4,55%</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-2,97%</w:t>
            </w:r>
          </w:p>
        </w:tc>
        <w:tc>
          <w:tcPr>
            <w:tcW w:w="1277" w:type="dxa"/>
            <w:tcBorders>
              <w:top w:val="nil"/>
              <w:left w:val="nil"/>
              <w:bottom w:val="single" w:sz="8" w:space="0" w:color="auto"/>
              <w:right w:val="single" w:sz="8" w:space="0" w:color="auto"/>
            </w:tcBorders>
            <w:shd w:val="clear" w:color="000000" w:fill="FFFF00"/>
            <w:noWrap/>
            <w:vAlign w:val="center"/>
          </w:tcPr>
          <w:p w:rsidR="00A9254B" w:rsidRDefault="00267622">
            <w:pPr>
              <w:spacing w:after="0" w:line="240" w:lineRule="auto"/>
              <w:jc w:val="center"/>
              <w:rPr>
                <w:rFonts w:ascii="Calibri" w:eastAsia="Times New Roman" w:hAnsi="Calibri" w:cs="Times New Roman"/>
                <w:b/>
                <w:bCs/>
                <w:lang w:eastAsia="tr-TR"/>
              </w:rPr>
            </w:pPr>
            <w:r>
              <w:rPr>
                <w:rFonts w:ascii="Calibri" w:eastAsia="Times New Roman" w:hAnsi="Calibri" w:cs="Times New Roman"/>
                <w:b/>
                <w:bCs/>
                <w:lang w:eastAsia="tr-TR"/>
              </w:rPr>
              <w:t>1,26%</w:t>
            </w:r>
          </w:p>
        </w:tc>
      </w:tr>
    </w:tbl>
    <w:p w:rsidR="00A9254B" w:rsidRDefault="00A9254B">
      <w:pPr>
        <w:jc w:val="both"/>
        <w:rPr>
          <w:rFonts w:ascii="Verdana" w:eastAsia="Times New Roman" w:hAnsi="Verdana" w:cs="Times New Roman"/>
          <w:sz w:val="20"/>
          <w:szCs w:val="18"/>
        </w:rPr>
      </w:pPr>
    </w:p>
    <w:p w:rsidR="00A9254B" w:rsidRDefault="00A9254B">
      <w:pPr>
        <w:jc w:val="both"/>
        <w:rPr>
          <w:rFonts w:ascii="Verdana" w:eastAsia="Times New Roman" w:hAnsi="Verdana" w:cs="Times New Roman"/>
          <w:sz w:val="20"/>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Verdana" w:eastAsia="Times New Roman" w:hAnsi="Verdana" w:cs="Times New Roman"/>
          <w:sz w:val="18"/>
          <w:szCs w:val="18"/>
        </w:rPr>
      </w:pPr>
    </w:p>
    <w:p w:rsidR="00A9254B" w:rsidRDefault="00A9254B">
      <w:pPr>
        <w:jc w:val="both"/>
        <w:rPr>
          <w:rFonts w:ascii="Arial" w:eastAsia="Times New Roman" w:hAnsi="Arial" w:cs="Arial"/>
          <w:color w:val="891C02"/>
          <w:kern w:val="36"/>
          <w:sz w:val="28"/>
          <w:szCs w:val="33"/>
        </w:rPr>
      </w:pPr>
    </w:p>
    <w:p w:rsidR="00A9254B" w:rsidRDefault="00A9254B">
      <w:pPr>
        <w:shd w:val="clear" w:color="auto" w:fill="FFFFFF"/>
        <w:spacing w:after="150" w:line="240" w:lineRule="auto"/>
        <w:jc w:val="both"/>
        <w:rPr>
          <w:rFonts w:ascii="Verdana" w:eastAsia="Times New Roman" w:hAnsi="Verdana" w:cs="Times New Roman"/>
          <w:sz w:val="18"/>
          <w:szCs w:val="18"/>
        </w:rPr>
      </w:pPr>
    </w:p>
    <w:p w:rsidR="00A9254B" w:rsidRDefault="00A9254B">
      <w:pPr>
        <w:rPr>
          <w:color w:val="FF0000"/>
        </w:rPr>
      </w:pPr>
    </w:p>
    <w:p w:rsidR="00A9254B" w:rsidRDefault="00A9254B">
      <w:pPr>
        <w:rPr>
          <w:color w:val="FF0000"/>
        </w:rPr>
      </w:pPr>
    </w:p>
    <w:p w:rsidR="00A9254B" w:rsidRDefault="00A9254B">
      <w:pPr>
        <w:rPr>
          <w:color w:val="FF0000"/>
        </w:rPr>
      </w:pPr>
    </w:p>
    <w:p w:rsidR="00A9254B" w:rsidRDefault="00A9254B">
      <w:pPr>
        <w:rPr>
          <w:color w:val="FF0000"/>
        </w:rPr>
      </w:pPr>
    </w:p>
    <w:p w:rsidR="00A9254B" w:rsidRDefault="00A9254B">
      <w:pPr>
        <w:rPr>
          <w:color w:val="FF0000"/>
        </w:rPr>
      </w:pPr>
    </w:p>
    <w:p w:rsidR="00A9254B" w:rsidRDefault="00A9254B">
      <w:pPr>
        <w:rPr>
          <w:color w:val="FF0000"/>
        </w:rPr>
      </w:pPr>
    </w:p>
    <w:p w:rsidR="00A9254B" w:rsidRDefault="00A9254B">
      <w:pPr>
        <w:rPr>
          <w:color w:val="FF0000"/>
        </w:rPr>
      </w:pPr>
    </w:p>
    <w:p w:rsidR="00A9254B" w:rsidRDefault="00A9254B">
      <w:pPr>
        <w:rPr>
          <w:color w:val="FF0000"/>
        </w:rPr>
      </w:pPr>
    </w:p>
    <w:p w:rsidR="00A9254B" w:rsidRDefault="00A9254B">
      <w:pPr>
        <w:rPr>
          <w:color w:val="FF0000"/>
        </w:rPr>
      </w:pPr>
    </w:p>
    <w:p w:rsidR="00A9254B" w:rsidRDefault="00A9254B">
      <w:pPr>
        <w:rPr>
          <w:lang w:eastAsia="tr-TR"/>
        </w:rPr>
      </w:pPr>
    </w:p>
    <w:sectPr w:rsidR="00A925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E21" w:rsidRDefault="00F43E21">
      <w:pPr>
        <w:spacing w:line="240" w:lineRule="auto"/>
      </w:pPr>
      <w:r>
        <w:separator/>
      </w:r>
    </w:p>
  </w:endnote>
  <w:endnote w:type="continuationSeparator" w:id="0">
    <w:p w:rsidR="00F43E21" w:rsidRDefault="00F43E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E21" w:rsidRDefault="00F43E21">
      <w:pPr>
        <w:spacing w:after="0"/>
      </w:pPr>
      <w:r>
        <w:separator/>
      </w:r>
    </w:p>
  </w:footnote>
  <w:footnote w:type="continuationSeparator" w:id="0">
    <w:p w:rsidR="00F43E21" w:rsidRDefault="00F43E2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04"/>
    <w:rsid w:val="000166A8"/>
    <w:rsid w:val="000256FC"/>
    <w:rsid w:val="0002656E"/>
    <w:rsid w:val="00032C4E"/>
    <w:rsid w:val="00033C7C"/>
    <w:rsid w:val="00053191"/>
    <w:rsid w:val="0006370F"/>
    <w:rsid w:val="000719F6"/>
    <w:rsid w:val="00074D68"/>
    <w:rsid w:val="00083A1D"/>
    <w:rsid w:val="000C011E"/>
    <w:rsid w:val="000C6F2F"/>
    <w:rsid w:val="000D6502"/>
    <w:rsid w:val="00104A93"/>
    <w:rsid w:val="00117868"/>
    <w:rsid w:val="00125E28"/>
    <w:rsid w:val="00134019"/>
    <w:rsid w:val="00151FD1"/>
    <w:rsid w:val="00154CAF"/>
    <w:rsid w:val="001758D4"/>
    <w:rsid w:val="00175DC3"/>
    <w:rsid w:val="001863AA"/>
    <w:rsid w:val="00187AA2"/>
    <w:rsid w:val="0019051F"/>
    <w:rsid w:val="00194DA0"/>
    <w:rsid w:val="001A5494"/>
    <w:rsid w:val="001A772F"/>
    <w:rsid w:val="001B1A14"/>
    <w:rsid w:val="001C2EA0"/>
    <w:rsid w:val="001D46C3"/>
    <w:rsid w:val="001F450C"/>
    <w:rsid w:val="001F67A6"/>
    <w:rsid w:val="0020054A"/>
    <w:rsid w:val="002066F4"/>
    <w:rsid w:val="00231AFE"/>
    <w:rsid w:val="0023483D"/>
    <w:rsid w:val="0023500F"/>
    <w:rsid w:val="00237553"/>
    <w:rsid w:val="00254B5E"/>
    <w:rsid w:val="00267622"/>
    <w:rsid w:val="00276749"/>
    <w:rsid w:val="00281D6A"/>
    <w:rsid w:val="002963C0"/>
    <w:rsid w:val="002A2C9B"/>
    <w:rsid w:val="002A2E2B"/>
    <w:rsid w:val="002B0478"/>
    <w:rsid w:val="002D767F"/>
    <w:rsid w:val="002D7A18"/>
    <w:rsid w:val="002E32BC"/>
    <w:rsid w:val="002E3EA8"/>
    <w:rsid w:val="002E47B5"/>
    <w:rsid w:val="002E53F3"/>
    <w:rsid w:val="002F05E9"/>
    <w:rsid w:val="0031518D"/>
    <w:rsid w:val="00316703"/>
    <w:rsid w:val="00324B2D"/>
    <w:rsid w:val="00332DA4"/>
    <w:rsid w:val="003346A4"/>
    <w:rsid w:val="00345807"/>
    <w:rsid w:val="00345C02"/>
    <w:rsid w:val="0035424F"/>
    <w:rsid w:val="0036350A"/>
    <w:rsid w:val="00364E9E"/>
    <w:rsid w:val="00370322"/>
    <w:rsid w:val="00374770"/>
    <w:rsid w:val="00374ED7"/>
    <w:rsid w:val="00375CB1"/>
    <w:rsid w:val="00376D47"/>
    <w:rsid w:val="00377B2C"/>
    <w:rsid w:val="00383770"/>
    <w:rsid w:val="003B0EB1"/>
    <w:rsid w:val="003D7CDF"/>
    <w:rsid w:val="003E0DD5"/>
    <w:rsid w:val="003E326F"/>
    <w:rsid w:val="003E54AE"/>
    <w:rsid w:val="00426EC5"/>
    <w:rsid w:val="00432021"/>
    <w:rsid w:val="00444D31"/>
    <w:rsid w:val="004458BC"/>
    <w:rsid w:val="00450763"/>
    <w:rsid w:val="00497C31"/>
    <w:rsid w:val="00497D8E"/>
    <w:rsid w:val="004D29BD"/>
    <w:rsid w:val="004F1288"/>
    <w:rsid w:val="005007A3"/>
    <w:rsid w:val="00511AAC"/>
    <w:rsid w:val="00540B04"/>
    <w:rsid w:val="00541D4F"/>
    <w:rsid w:val="005448FE"/>
    <w:rsid w:val="00592B60"/>
    <w:rsid w:val="00597370"/>
    <w:rsid w:val="005A39C6"/>
    <w:rsid w:val="005A4194"/>
    <w:rsid w:val="005D3313"/>
    <w:rsid w:val="005D7956"/>
    <w:rsid w:val="005E3C41"/>
    <w:rsid w:val="005E668B"/>
    <w:rsid w:val="005F278B"/>
    <w:rsid w:val="00620DCB"/>
    <w:rsid w:val="00625B69"/>
    <w:rsid w:val="00625D8F"/>
    <w:rsid w:val="006455C7"/>
    <w:rsid w:val="0064663B"/>
    <w:rsid w:val="006614BE"/>
    <w:rsid w:val="006624E6"/>
    <w:rsid w:val="00676AAD"/>
    <w:rsid w:val="00680EFE"/>
    <w:rsid w:val="00685ED2"/>
    <w:rsid w:val="00692582"/>
    <w:rsid w:val="006943B7"/>
    <w:rsid w:val="006A17DB"/>
    <w:rsid w:val="006A77BC"/>
    <w:rsid w:val="006B32CC"/>
    <w:rsid w:val="006C7CFB"/>
    <w:rsid w:val="006D5917"/>
    <w:rsid w:val="006E02A5"/>
    <w:rsid w:val="006E2F70"/>
    <w:rsid w:val="006E3530"/>
    <w:rsid w:val="006F01AD"/>
    <w:rsid w:val="007200B4"/>
    <w:rsid w:val="00723011"/>
    <w:rsid w:val="00724778"/>
    <w:rsid w:val="007319C1"/>
    <w:rsid w:val="00742E7A"/>
    <w:rsid w:val="00750B49"/>
    <w:rsid w:val="0076750F"/>
    <w:rsid w:val="00775674"/>
    <w:rsid w:val="007A135A"/>
    <w:rsid w:val="007B197A"/>
    <w:rsid w:val="007B5792"/>
    <w:rsid w:val="007C396E"/>
    <w:rsid w:val="007C5E37"/>
    <w:rsid w:val="007E4B4D"/>
    <w:rsid w:val="007F75BF"/>
    <w:rsid w:val="008025CB"/>
    <w:rsid w:val="00826D4D"/>
    <w:rsid w:val="00885624"/>
    <w:rsid w:val="008A2588"/>
    <w:rsid w:val="008A2D1D"/>
    <w:rsid w:val="008C19BD"/>
    <w:rsid w:val="008C5FA2"/>
    <w:rsid w:val="008D68CD"/>
    <w:rsid w:val="008E424A"/>
    <w:rsid w:val="00900DA6"/>
    <w:rsid w:val="00900DC7"/>
    <w:rsid w:val="00904684"/>
    <w:rsid w:val="0090646A"/>
    <w:rsid w:val="00932B21"/>
    <w:rsid w:val="00933F85"/>
    <w:rsid w:val="00943DA1"/>
    <w:rsid w:val="0095503C"/>
    <w:rsid w:val="009666B2"/>
    <w:rsid w:val="009718F7"/>
    <w:rsid w:val="00995A6C"/>
    <w:rsid w:val="009B3156"/>
    <w:rsid w:val="00A11227"/>
    <w:rsid w:val="00A15C34"/>
    <w:rsid w:val="00A3026F"/>
    <w:rsid w:val="00A36469"/>
    <w:rsid w:val="00A47BCF"/>
    <w:rsid w:val="00A61C75"/>
    <w:rsid w:val="00A7075A"/>
    <w:rsid w:val="00A9254B"/>
    <w:rsid w:val="00AA3A9A"/>
    <w:rsid w:val="00AA4E3C"/>
    <w:rsid w:val="00AA68CC"/>
    <w:rsid w:val="00AB0BF7"/>
    <w:rsid w:val="00AB1E47"/>
    <w:rsid w:val="00AC1FB0"/>
    <w:rsid w:val="00AD68A1"/>
    <w:rsid w:val="00AF2B81"/>
    <w:rsid w:val="00AF4086"/>
    <w:rsid w:val="00AF6610"/>
    <w:rsid w:val="00B02FB1"/>
    <w:rsid w:val="00B24985"/>
    <w:rsid w:val="00B333EA"/>
    <w:rsid w:val="00B404EC"/>
    <w:rsid w:val="00B763CA"/>
    <w:rsid w:val="00B87587"/>
    <w:rsid w:val="00B9249F"/>
    <w:rsid w:val="00BA243B"/>
    <w:rsid w:val="00BA3BCA"/>
    <w:rsid w:val="00BB00B7"/>
    <w:rsid w:val="00BD35C9"/>
    <w:rsid w:val="00C0395D"/>
    <w:rsid w:val="00C2192F"/>
    <w:rsid w:val="00C22571"/>
    <w:rsid w:val="00C22D0F"/>
    <w:rsid w:val="00C247AF"/>
    <w:rsid w:val="00C45D48"/>
    <w:rsid w:val="00C4673D"/>
    <w:rsid w:val="00C47FB3"/>
    <w:rsid w:val="00C703F6"/>
    <w:rsid w:val="00C7657A"/>
    <w:rsid w:val="00C90D88"/>
    <w:rsid w:val="00C94471"/>
    <w:rsid w:val="00CA6E88"/>
    <w:rsid w:val="00CB6842"/>
    <w:rsid w:val="00CC7989"/>
    <w:rsid w:val="00CE10ED"/>
    <w:rsid w:val="00D13374"/>
    <w:rsid w:val="00D27449"/>
    <w:rsid w:val="00D3213A"/>
    <w:rsid w:val="00D33355"/>
    <w:rsid w:val="00D376D4"/>
    <w:rsid w:val="00D40C15"/>
    <w:rsid w:val="00D467DE"/>
    <w:rsid w:val="00D47585"/>
    <w:rsid w:val="00D51727"/>
    <w:rsid w:val="00D55792"/>
    <w:rsid w:val="00D62706"/>
    <w:rsid w:val="00D634A5"/>
    <w:rsid w:val="00D73AA5"/>
    <w:rsid w:val="00D75A8F"/>
    <w:rsid w:val="00D937BD"/>
    <w:rsid w:val="00D95692"/>
    <w:rsid w:val="00DA2F23"/>
    <w:rsid w:val="00DA4573"/>
    <w:rsid w:val="00DA5969"/>
    <w:rsid w:val="00DA5D27"/>
    <w:rsid w:val="00DE1C7F"/>
    <w:rsid w:val="00DE21E9"/>
    <w:rsid w:val="00E13675"/>
    <w:rsid w:val="00E16BE5"/>
    <w:rsid w:val="00E26581"/>
    <w:rsid w:val="00E33440"/>
    <w:rsid w:val="00E43AE8"/>
    <w:rsid w:val="00E45076"/>
    <w:rsid w:val="00E52D8A"/>
    <w:rsid w:val="00E54204"/>
    <w:rsid w:val="00E55E45"/>
    <w:rsid w:val="00E62B25"/>
    <w:rsid w:val="00E75D4A"/>
    <w:rsid w:val="00E83036"/>
    <w:rsid w:val="00E85761"/>
    <w:rsid w:val="00E96B62"/>
    <w:rsid w:val="00ED0054"/>
    <w:rsid w:val="00ED4E1F"/>
    <w:rsid w:val="00EF4F9F"/>
    <w:rsid w:val="00EF5627"/>
    <w:rsid w:val="00F43E21"/>
    <w:rsid w:val="00F52D4E"/>
    <w:rsid w:val="00F53714"/>
    <w:rsid w:val="00F769E6"/>
    <w:rsid w:val="00FA591E"/>
    <w:rsid w:val="00FA7856"/>
    <w:rsid w:val="00FB5122"/>
    <w:rsid w:val="00FC0B97"/>
    <w:rsid w:val="00FC15DD"/>
    <w:rsid w:val="00FE08C2"/>
    <w:rsid w:val="00FE367E"/>
    <w:rsid w:val="00FE5B97"/>
    <w:rsid w:val="00FE5DB5"/>
    <w:rsid w:val="00FE6755"/>
    <w:rsid w:val="00FF70BB"/>
    <w:rsid w:val="3F576AB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ja-JP"/>
    </w:rPr>
  </w:style>
  <w:style w:type="paragraph" w:styleId="Balk1">
    <w:name w:val="heading 1"/>
    <w:basedOn w:val="Normal"/>
    <w:next w:val="Normal"/>
    <w:link w:val="Balk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character" w:customStyle="1" w:styleId="Balk1Char">
    <w:name w:val="Başlık 1 Char"/>
    <w:basedOn w:val="VarsaylanParagrafYazTipi"/>
    <w:link w:val="Balk1"/>
    <w:uiPriority w:val="9"/>
    <w:rPr>
      <w:rFonts w:asciiTheme="majorHAnsi" w:eastAsiaTheme="majorEastAsia" w:hAnsiTheme="majorHAnsi" w:cstheme="majorBidi"/>
      <w:b/>
      <w:bCs/>
      <w:color w:val="365F91" w:themeColor="accent1" w:themeShade="BF"/>
      <w:sz w:val="28"/>
      <w:szCs w:val="28"/>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ja-JP"/>
    </w:rPr>
  </w:style>
  <w:style w:type="paragraph" w:styleId="Balk1">
    <w:name w:val="heading 1"/>
    <w:basedOn w:val="Normal"/>
    <w:next w:val="Normal"/>
    <w:link w:val="Balk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character" w:customStyle="1" w:styleId="Balk1Char">
    <w:name w:val="Başlık 1 Char"/>
    <w:basedOn w:val="VarsaylanParagrafYazTipi"/>
    <w:link w:val="Balk1"/>
    <w:uiPriority w:val="9"/>
    <w:rPr>
      <w:rFonts w:asciiTheme="majorHAnsi" w:eastAsiaTheme="majorEastAsia" w:hAnsiTheme="majorHAnsi" w:cstheme="majorBidi"/>
      <w:b/>
      <w:bCs/>
      <w:color w:val="365F91" w:themeColor="accent1" w:themeShade="BF"/>
      <w:sz w:val="28"/>
      <w:szCs w:val="28"/>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156976494147299"/>
          <c:y val="0.14505605403975699"/>
          <c:w val="0.74995183805375398"/>
          <c:h val="0.74796150481189805"/>
        </c:manualLayout>
      </c:layout>
      <c:barChart>
        <c:barDir val="col"/>
        <c:grouping val="clustered"/>
        <c:varyColors val="0"/>
        <c:ser>
          <c:idx val="0"/>
          <c:order val="0"/>
          <c:invertIfNegative val="0"/>
          <c:dLbls>
            <c:dLbl>
              <c:idx val="0"/>
              <c:layout>
                <c:manualLayout>
                  <c:x val="-1.6636575191289798E-5"/>
                  <c:y val="0"/>
                </c:manualLayout>
              </c:layout>
              <c:tx>
                <c:rich>
                  <a:bodyPr/>
                  <a:lstStyle/>
                  <a:p>
                    <a:r>
                      <a:rPr lang="tr-TR" sz="1000" b="1" baseline="0">
                        <a:latin typeface="Arial Black" panose="020B0A04020102020204" pitchFamily="34" charset="0"/>
                        <a:cs typeface="Times New Roman" panose="02020603050405020304" charset="0"/>
                      </a:rPr>
                      <a:t>344M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376213797804098E-3"/>
                  <c:y val="3.5204514164411602E-3"/>
                </c:manualLayout>
              </c:layout>
              <c:tx>
                <c:rich>
                  <a:bodyPr/>
                  <a:lstStyle/>
                  <a:p>
                    <a:r>
                      <a:rPr lang="tr-TR" sz="1000" b="1">
                        <a:latin typeface="Arial Black" panose="020B0A04020102020204" pitchFamily="34" charset="0"/>
                        <a:cs typeface="Times New Roman" panose="02020603050405020304" charset="0"/>
                      </a:rPr>
                      <a:t>384M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5009538303109696E-3"/>
                  <c:y val="5.6372798361445104E-4"/>
                </c:manualLayout>
              </c:layout>
              <c:tx>
                <c:rich>
                  <a:bodyPr/>
                  <a:lstStyle/>
                  <a:p>
                    <a:r>
                      <a:rPr lang="tr-TR" sz="1000" b="1">
                        <a:latin typeface="Arial Black" panose="020B0A04020102020204" pitchFamily="34" charset="0"/>
                        <a:cs typeface="Times New Roman" panose="02020603050405020304" charset="0"/>
                      </a:rPr>
                      <a:t>404M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742669896336796E-3"/>
                  <c:y val="-2.97489945539753E-3"/>
                </c:manualLayout>
              </c:layout>
              <c:tx>
                <c:rich>
                  <a:bodyPr/>
                  <a:lstStyle/>
                  <a:p>
                    <a:r>
                      <a:rPr lang="tr-TR" sz="1000" b="1">
                        <a:latin typeface="Arial Black" panose="020B0A04020102020204" pitchFamily="34" charset="0"/>
                        <a:cs typeface="Times New Roman" panose="02020603050405020304" charset="0"/>
                      </a:rPr>
                      <a:t>408M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8467568892988003E-3"/>
                  <c:y val="-3.16561205043168E-3"/>
                </c:manualLayout>
              </c:layout>
              <c:tx>
                <c:rich>
                  <a:bodyPr/>
                  <a:lstStyle/>
                  <a:p>
                    <a:r>
                      <a:rPr lang="tr-TR" sz="1000" b="1">
                        <a:latin typeface="Arial Black" panose="020B0A04020102020204" pitchFamily="34" charset="0"/>
                        <a:cs typeface="Times New Roman" panose="02020603050405020304" charset="0"/>
                      </a:rPr>
                      <a:t>411M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51876700876219E-2"/>
                  <c:y val="1.2815496841894499E-2"/>
                </c:manualLayout>
              </c:layout>
              <c:tx>
                <c:rich>
                  <a:bodyPr/>
                  <a:lstStyle/>
                  <a:p>
                    <a:r>
                      <a:rPr lang="tr-TR" sz="1000" b="1">
                        <a:latin typeface="Arial Black" panose="020B0A04020102020204" pitchFamily="34" charset="0"/>
                        <a:cs typeface="Times New Roman" panose="02020603050405020304" charset="0"/>
                      </a:rPr>
                      <a:t>424M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5693545851821E-2"/>
                  <c:y val="7.4313027181977598E-3"/>
                </c:manualLayout>
              </c:layout>
              <c:tx>
                <c:rich>
                  <a:bodyPr/>
                  <a:lstStyle/>
                  <a:p>
                    <a:r>
                      <a:rPr lang="tr-TR" sz="1000" b="1">
                        <a:latin typeface="Arial Black" panose="020B0A04020102020204" pitchFamily="34" charset="0"/>
                        <a:cs typeface="Times New Roman" panose="02020603050405020304" charset="0"/>
                      </a:rPr>
                      <a:t>433M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7098525825484798E-2"/>
                  <c:y val="6.7830120367026597E-3"/>
                </c:manualLayout>
              </c:layout>
              <c:tx>
                <c:rich>
                  <a:bodyPr/>
                  <a:lstStyle/>
                  <a:p>
                    <a:r>
                      <a:rPr lang="tr-TR" sz="1000" b="1">
                        <a:latin typeface="Arial Black" panose="020B0A04020102020204" pitchFamily="34" charset="0"/>
                        <a:cs typeface="Times New Roman" panose="02020603050405020304" charset="0"/>
                      </a:rPr>
                      <a:t>439M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1273564192936E-2"/>
                  <c:y val="1.3185754881414999E-2"/>
                </c:manualLayout>
              </c:layout>
              <c:tx>
                <c:rich>
                  <a:bodyPr/>
                  <a:lstStyle/>
                  <a:p>
                    <a:r>
                      <a:rPr lang="tr-TR" sz="1000" b="1">
                        <a:latin typeface="Arial Black" panose="020B0A04020102020204" pitchFamily="34" charset="0"/>
                        <a:cs typeface="Times New Roman" panose="02020603050405020304" charset="0"/>
                      </a:rPr>
                      <a:t>380M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chemeClr val="tx1"/>
                    </a:solidFill>
                    <a:latin typeface="Arial Black" panose="020B0A04020102020204" pitchFamily="34" charset="0"/>
                    <a:ea typeface="+mn-ea"/>
                    <a:cs typeface="Times New Roman" panose="0202060305040502030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'MUKAYESELİ SATIŞ RAPORU'!$F$2:$N$2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'MUKAYESELİ SATIŞ RAPORU'!$F$15:$N$15</c:f>
              <c:numCache>
                <c:formatCode>#,##0</c:formatCode>
                <c:ptCount val="9"/>
                <c:pt idx="0">
                  <c:v>344405399</c:v>
                </c:pt>
                <c:pt idx="1">
                  <c:v>384054363</c:v>
                </c:pt>
                <c:pt idx="2">
                  <c:v>404129293</c:v>
                </c:pt>
                <c:pt idx="3">
                  <c:v>407739008</c:v>
                </c:pt>
                <c:pt idx="4">
                  <c:v>410641305</c:v>
                </c:pt>
                <c:pt idx="5">
                  <c:v>423601828</c:v>
                </c:pt>
                <c:pt idx="6">
                  <c:v>433213632</c:v>
                </c:pt>
                <c:pt idx="7">
                  <c:v>438679864</c:v>
                </c:pt>
                <c:pt idx="8">
                  <c:v>380296402</c:v>
                </c:pt>
              </c:numCache>
            </c:numRef>
          </c:val>
        </c:ser>
        <c:dLbls>
          <c:showLegendKey val="0"/>
          <c:showVal val="0"/>
          <c:showCatName val="0"/>
          <c:showSerName val="0"/>
          <c:showPercent val="0"/>
          <c:showBubbleSize val="0"/>
        </c:dLbls>
        <c:gapWidth val="150"/>
        <c:axId val="153477120"/>
        <c:axId val="153479424"/>
      </c:barChart>
      <c:catAx>
        <c:axId val="15347712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crossAx val="153479424"/>
        <c:crosses val="autoZero"/>
        <c:auto val="1"/>
        <c:lblAlgn val="ctr"/>
        <c:lblOffset val="100"/>
        <c:noMultiLvlLbl val="0"/>
      </c:catAx>
      <c:valAx>
        <c:axId val="153479424"/>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crossAx val="153477120"/>
        <c:crosses val="autoZero"/>
        <c:crossBetween val="between"/>
      </c:valAx>
      <c:spPr>
        <a:noFill/>
        <a:ln>
          <a:noFill/>
        </a:ln>
        <a:effectLst/>
      </c:spPr>
    </c:plotArea>
    <c:plotVisOnly val="1"/>
    <c:dispBlanksAs val="gap"/>
    <c:showDLblsOverMax val="0"/>
  </c:chart>
  <c:txPr>
    <a:bodyPr/>
    <a:lstStyle/>
    <a:p>
      <a:pPr>
        <a:defRPr lang="en-US"/>
      </a:pPr>
      <a:endParaRPr lang="tr-T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156976494147299"/>
          <c:y val="0.14505605403975699"/>
          <c:w val="0.74995183805375398"/>
          <c:h val="0.74796150481189805"/>
        </c:manualLayout>
      </c:layout>
      <c:barChart>
        <c:barDir val="col"/>
        <c:grouping val="clustered"/>
        <c:varyColors val="0"/>
        <c:ser>
          <c:idx val="0"/>
          <c:order val="0"/>
          <c:invertIfNegative val="0"/>
          <c:dLbls>
            <c:dLbl>
              <c:idx val="0"/>
              <c:layout>
                <c:manualLayout>
                  <c:x val="-1.6636575191289798E-5"/>
                  <c:y val="0"/>
                </c:manualLayout>
              </c:layout>
              <c:tx>
                <c:rich>
                  <a:bodyPr/>
                  <a:lstStyle/>
                  <a:p>
                    <a:r>
                      <a:rPr lang="tr-TR" sz="1000" b="1" baseline="0">
                        <a:latin typeface="Arial Black" panose="020B0A04020102020204" pitchFamily="34" charset="0"/>
                        <a:cs typeface="Times New Roman" panose="02020603050405020304" charset="0"/>
                      </a:rPr>
                      <a:t>25M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9816561497990691E-3"/>
                  <c:y val="-6.8154658962203398E-3"/>
                </c:manualLayout>
              </c:layout>
              <c:tx>
                <c:rich>
                  <a:bodyPr/>
                  <a:lstStyle/>
                  <a:p>
                    <a:r>
                      <a:rPr lang="tr-TR" sz="1000" b="1">
                        <a:latin typeface="Arial Black" panose="020B0A04020102020204" pitchFamily="34" charset="0"/>
                        <a:cs typeface="Times New Roman" panose="02020603050405020304" charset="0"/>
                      </a:rPr>
                      <a:t>24M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3729543772491E-2"/>
                  <c:y val="-2.8815777872727199E-3"/>
                </c:manualLayout>
              </c:layout>
              <c:tx>
                <c:rich>
                  <a:bodyPr/>
                  <a:lstStyle/>
                  <a:p>
                    <a:r>
                      <a:rPr lang="tr-TR" sz="1000" b="1">
                        <a:latin typeface="Arial Black" panose="020B0A04020102020204" pitchFamily="34" charset="0"/>
                        <a:cs typeface="Times New Roman" panose="02020603050405020304" charset="0"/>
                      </a:rPr>
                      <a:t>24M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742669896336796E-3"/>
                  <c:y val="-2.97489945539753E-3"/>
                </c:manualLayout>
              </c:layout>
              <c:tx>
                <c:rich>
                  <a:bodyPr/>
                  <a:lstStyle/>
                  <a:p>
                    <a:r>
                      <a:rPr lang="tr-TR" sz="1000" b="1">
                        <a:latin typeface="Arial Black" panose="020B0A04020102020204" pitchFamily="34" charset="0"/>
                        <a:cs typeface="Times New Roman" panose="02020603050405020304" charset="0"/>
                      </a:rPr>
                      <a:t>26M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8467568892988003E-3"/>
                  <c:y val="-3.16561205043168E-3"/>
                </c:manualLayout>
              </c:layout>
              <c:tx>
                <c:rich>
                  <a:bodyPr/>
                  <a:lstStyle/>
                  <a:p>
                    <a:r>
                      <a:rPr lang="tr-TR" sz="1000" b="1">
                        <a:latin typeface="Arial Black" panose="020B0A04020102020204" pitchFamily="34" charset="0"/>
                        <a:cs typeface="Times New Roman" panose="02020603050405020304" charset="0"/>
                      </a:rPr>
                      <a:t>23M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684128326935146E-3"/>
                  <c:y val="1.2815100240129558E-2"/>
                </c:manualLayout>
              </c:layout>
              <c:tx>
                <c:rich>
                  <a:bodyPr/>
                  <a:lstStyle/>
                  <a:p>
                    <a:r>
                      <a:rPr lang="tr-TR" sz="1000" b="1">
                        <a:latin typeface="Arial Black" panose="020B0A04020102020204" pitchFamily="34" charset="0"/>
                        <a:cs typeface="Times New Roman" panose="02020603050405020304" charset="0"/>
                      </a:rPr>
                      <a:t>32M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5693545851821E-2"/>
                  <c:y val="7.4313027181977598E-3"/>
                </c:manualLayout>
              </c:layout>
              <c:tx>
                <c:rich>
                  <a:bodyPr/>
                  <a:lstStyle/>
                  <a:p>
                    <a:r>
                      <a:rPr lang="tr-TR" sz="1000" b="1">
                        <a:latin typeface="Arial Black" panose="020B0A04020102020204" pitchFamily="34" charset="0"/>
                        <a:cs typeface="Times New Roman" panose="02020603050405020304" charset="0"/>
                      </a:rPr>
                      <a:t>23M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7098525825484798E-2"/>
                  <c:y val="6.7830120367026597E-3"/>
                </c:manualLayout>
              </c:layout>
              <c:tx>
                <c:rich>
                  <a:bodyPr/>
                  <a:lstStyle/>
                  <a:p>
                    <a:r>
                      <a:rPr lang="tr-TR" sz="1000" b="1">
                        <a:latin typeface="Arial Black" panose="020B0A04020102020204" pitchFamily="34" charset="0"/>
                        <a:cs typeface="Times New Roman" panose="02020603050405020304" charset="0"/>
                      </a:rPr>
                      <a:t>24M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29993583602796E-2"/>
                  <c:y val="-5.9546820213364797E-4"/>
                </c:manualLayout>
              </c:layout>
              <c:tx>
                <c:rich>
                  <a:bodyPr/>
                  <a:lstStyle/>
                  <a:p>
                    <a:r>
                      <a:rPr lang="tr-TR" sz="1000" b="1">
                        <a:latin typeface="Arial Black" panose="020B0A04020102020204" pitchFamily="34" charset="0"/>
                        <a:cs typeface="Times New Roman" panose="02020603050405020304" charset="0"/>
                      </a:rPr>
                      <a:t>25M</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chemeClr val="tx1"/>
                    </a:solidFill>
                    <a:latin typeface="Arial Black" panose="020B0A04020102020204" pitchFamily="34" charset="0"/>
                    <a:ea typeface="+mn-ea"/>
                    <a:cs typeface="Times New Roman" panose="0202060305040502030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'MUKAYESELİ SATIŞ RAPORU'!$F$2:$N$2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'MUKAYESELİ SATIŞ RAPORU'!$F$14:$N$14</c:f>
              <c:numCache>
                <c:formatCode>#,##0</c:formatCode>
                <c:ptCount val="9"/>
                <c:pt idx="0">
                  <c:v>24727281</c:v>
                </c:pt>
                <c:pt idx="1">
                  <c:v>24393462</c:v>
                </c:pt>
                <c:pt idx="2">
                  <c:v>24365771</c:v>
                </c:pt>
                <c:pt idx="3">
                  <c:v>25857759</c:v>
                </c:pt>
                <c:pt idx="4">
                  <c:v>22714630</c:v>
                </c:pt>
                <c:pt idx="5">
                  <c:v>31578531</c:v>
                </c:pt>
                <c:pt idx="6">
                  <c:v>22627607</c:v>
                </c:pt>
                <c:pt idx="7">
                  <c:v>23819636</c:v>
                </c:pt>
                <c:pt idx="8">
                  <c:v>24992834</c:v>
                </c:pt>
              </c:numCache>
            </c:numRef>
          </c:val>
        </c:ser>
        <c:dLbls>
          <c:showLegendKey val="0"/>
          <c:showVal val="0"/>
          <c:showCatName val="0"/>
          <c:showSerName val="0"/>
          <c:showPercent val="0"/>
          <c:showBubbleSize val="0"/>
        </c:dLbls>
        <c:gapWidth val="150"/>
        <c:axId val="242616960"/>
        <c:axId val="297225216"/>
      </c:barChart>
      <c:catAx>
        <c:axId val="24261696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crossAx val="297225216"/>
        <c:crosses val="autoZero"/>
        <c:auto val="1"/>
        <c:lblAlgn val="ctr"/>
        <c:lblOffset val="100"/>
        <c:noMultiLvlLbl val="0"/>
      </c:catAx>
      <c:valAx>
        <c:axId val="297225216"/>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tr-TR"/>
          </a:p>
        </c:txPr>
        <c:crossAx val="242616960"/>
        <c:crosses val="autoZero"/>
        <c:crossBetween val="between"/>
      </c:valAx>
      <c:spPr>
        <a:noFill/>
        <a:ln>
          <a:noFill/>
        </a:ln>
        <a:effectLst/>
      </c:spPr>
    </c:plotArea>
    <c:plotVisOnly val="1"/>
    <c:dispBlanksAs val="gap"/>
    <c:showDLblsOverMax val="0"/>
  </c:chart>
  <c:txPr>
    <a:bodyPr/>
    <a:lstStyle/>
    <a:p>
      <a:pPr>
        <a:defRPr lang="en-US"/>
      </a:pPr>
      <a:endParaRPr lang="tr-T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0.27401</cdr:x>
      <cdr:y>0.00852</cdr:y>
    </cdr:from>
    <cdr:to>
      <cdr:x>0.75135</cdr:x>
      <cdr:y>0.10084</cdr:y>
    </cdr:to>
    <cdr:sp macro="" textlink="">
      <cdr:nvSpPr>
        <cdr:cNvPr id="2" name="Rectangles 1"/>
        <cdr:cNvSpPr/>
      </cdr:nvSpPr>
      <cdr:spPr>
        <a:xfrm xmlns:a="http://schemas.openxmlformats.org/drawingml/2006/main">
          <a:off x="1873789" y="31867"/>
          <a:ext cx="3264225" cy="3451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pPr algn="ctr"/>
          <a:r>
            <a:rPr lang="tr-TR" sz="1800" b="1" baseline="0"/>
            <a:t>2014-2022 Bandrol Verileri</a:t>
          </a:r>
          <a:endParaRPr lang="tr-TR" sz="1800" b="1"/>
        </a:p>
      </cdr:txBody>
    </cdr:sp>
  </cdr:relSizeAnchor>
  <cdr:relSizeAnchor xmlns:cdr="http://schemas.openxmlformats.org/drawingml/2006/chartDrawing">
    <cdr:from>
      <cdr:x>0.93443</cdr:x>
      <cdr:y>0.39511</cdr:y>
    </cdr:from>
    <cdr:to>
      <cdr:x>1</cdr:x>
      <cdr:y>0.56893</cdr:y>
    </cdr:to>
    <cdr:sp macro="" textlink="">
      <cdr:nvSpPr>
        <cdr:cNvPr id="3" name="Rectangles 2"/>
        <cdr:cNvSpPr/>
      </cdr:nvSpPr>
      <cdr:spPr>
        <a:xfrm xmlns:a="http://schemas.openxmlformats.org/drawingml/2006/main" rot="16200000">
          <a:off x="5539568" y="1439824"/>
          <a:ext cx="388749" cy="63340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tr-TR" sz="1800" b="1"/>
            <a:t>ADET</a:t>
          </a:r>
        </a:p>
      </cdr:txBody>
    </cdr:sp>
  </cdr:relSizeAnchor>
</c:userShapes>
</file>

<file path=word/drawings/drawing2.xml><?xml version="1.0" encoding="utf-8"?>
<c:userShapes xmlns:c="http://schemas.openxmlformats.org/drawingml/2006/chart">
  <cdr:relSizeAnchor xmlns:cdr="http://schemas.openxmlformats.org/drawingml/2006/chartDrawing">
    <cdr:from>
      <cdr:x>0.27401</cdr:x>
      <cdr:y>0.00852</cdr:y>
    </cdr:from>
    <cdr:to>
      <cdr:x>0.75135</cdr:x>
      <cdr:y>0.10084</cdr:y>
    </cdr:to>
    <cdr:sp macro="" textlink="">
      <cdr:nvSpPr>
        <cdr:cNvPr id="2" name="Rectangles 1"/>
        <cdr:cNvSpPr/>
      </cdr:nvSpPr>
      <cdr:spPr>
        <a:xfrm xmlns:a="http://schemas.openxmlformats.org/drawingml/2006/main">
          <a:off x="1873789" y="31867"/>
          <a:ext cx="3264225" cy="3451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pPr algn="ctr"/>
          <a:r>
            <a:rPr lang="tr-TR" sz="1800" b="1" baseline="0"/>
            <a:t>Aralık Ayı Verileri</a:t>
          </a:r>
          <a:endParaRPr lang="tr-TR" sz="1800" b="1"/>
        </a:p>
      </cdr:txBody>
    </cdr:sp>
  </cdr:relSizeAnchor>
  <cdr:relSizeAnchor xmlns:cdr="http://schemas.openxmlformats.org/drawingml/2006/chartDrawing">
    <cdr:from>
      <cdr:x>0.93443</cdr:x>
      <cdr:y>0.39511</cdr:y>
    </cdr:from>
    <cdr:to>
      <cdr:x>1</cdr:x>
      <cdr:y>0.56893</cdr:y>
    </cdr:to>
    <cdr:sp macro="" textlink="">
      <cdr:nvSpPr>
        <cdr:cNvPr id="3" name="Rectangles 2"/>
        <cdr:cNvSpPr/>
      </cdr:nvSpPr>
      <cdr:spPr>
        <a:xfrm xmlns:a="http://schemas.openxmlformats.org/drawingml/2006/main" rot="16200000">
          <a:off x="5539568" y="1439824"/>
          <a:ext cx="388749" cy="63340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tr-TR" sz="1800" b="1"/>
            <a:t>ADET</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6ED9-58D3-4A01-9699-858D4CA5C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840</Words>
  <Characters>4792</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Yıldırım</dc:creator>
  <cp:lastModifiedBy>YAVUZ SAYKI</cp:lastModifiedBy>
  <cp:revision>2</cp:revision>
  <dcterms:created xsi:type="dcterms:W3CDTF">2023-01-06T11:06:00Z</dcterms:created>
  <dcterms:modified xsi:type="dcterms:W3CDTF">2023-01-06T11:06:00Z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83B68E306C674E9BABA94171A0B00537</vt:lpwstr>
  </property>
</Properties>
</file>